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附件1</w:t>
      </w:r>
    </w:p>
    <w:p>
      <w:pPr>
        <w:pStyle w:val="2"/>
        <w:spacing w:before="0" w:after="0" w:line="360" w:lineRule="auto"/>
        <w:jc w:val="center"/>
        <w:rPr>
          <w:rFonts w:hint="eastAsia" w:ascii="仿宋" w:hAnsi="仿宋" w:eastAsia="仿宋" w:cs="仿宋"/>
          <w:color w:val="auto"/>
          <w:sz w:val="44"/>
          <w:szCs w:val="40"/>
        </w:rPr>
      </w:pPr>
      <w:r>
        <w:rPr>
          <w:rFonts w:hint="eastAsia" w:ascii="仿宋" w:hAnsi="仿宋" w:eastAsia="仿宋" w:cs="仿宋"/>
          <w:color w:val="auto"/>
          <w:sz w:val="44"/>
          <w:szCs w:val="40"/>
          <w:lang w:eastAsia="zh-CN"/>
        </w:rPr>
        <w:t>竞选</w:t>
      </w:r>
      <w:r>
        <w:rPr>
          <w:rFonts w:hint="eastAsia" w:ascii="仿宋" w:hAnsi="仿宋" w:eastAsia="仿宋" w:cs="仿宋"/>
          <w:color w:val="auto"/>
          <w:sz w:val="44"/>
          <w:szCs w:val="40"/>
        </w:rPr>
        <w:t>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300"/>
        <w:jc w:val="left"/>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lang w:eastAsia="zh-CN"/>
        </w:rPr>
        <w:t>一</w:t>
      </w:r>
      <w:r>
        <w:rPr>
          <w:rFonts w:hint="eastAsia" w:ascii="仿宋" w:hAnsi="仿宋" w:eastAsia="仿宋" w:cs="仿宋"/>
          <w:i w:val="0"/>
          <w:iCs w:val="0"/>
          <w:caps w:val="0"/>
          <w:color w:val="auto"/>
          <w:spacing w:val="0"/>
          <w:sz w:val="24"/>
          <w:szCs w:val="24"/>
          <w:shd w:val="clear" w:color="auto" w:fill="FFFFFF"/>
        </w:rPr>
        <w:t>、评审因素权重的确定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17"/>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综合评估法由招标代理</w:t>
      </w:r>
      <w:r>
        <w:rPr>
          <w:rFonts w:hint="eastAsia" w:ascii="仿宋" w:hAnsi="仿宋" w:eastAsia="仿宋" w:cs="仿宋"/>
          <w:i w:val="0"/>
          <w:iCs w:val="0"/>
          <w:caps w:val="0"/>
          <w:color w:val="auto"/>
          <w:spacing w:val="0"/>
          <w:sz w:val="24"/>
          <w:szCs w:val="24"/>
          <w:shd w:val="clear" w:color="auto" w:fill="FFFFFF"/>
          <w:lang w:val="en-US" w:eastAsia="zh-CN"/>
        </w:rPr>
        <w:t>服务</w:t>
      </w:r>
      <w:r>
        <w:rPr>
          <w:rFonts w:hint="eastAsia" w:ascii="仿宋" w:hAnsi="仿宋" w:eastAsia="仿宋" w:cs="仿宋"/>
          <w:i w:val="0"/>
          <w:iCs w:val="0"/>
          <w:caps w:val="0"/>
          <w:color w:val="auto"/>
          <w:spacing w:val="0"/>
          <w:sz w:val="24"/>
          <w:szCs w:val="24"/>
          <w:shd w:val="clear" w:color="auto" w:fill="FFFFFF"/>
        </w:rPr>
        <w:t>方案、</w:t>
      </w:r>
      <w:r>
        <w:rPr>
          <w:rFonts w:hint="eastAsia" w:ascii="仿宋" w:hAnsi="仿宋" w:eastAsia="仿宋" w:cs="仿宋"/>
          <w:i w:val="0"/>
          <w:iCs w:val="0"/>
          <w:caps w:val="0"/>
          <w:color w:val="auto"/>
          <w:spacing w:val="0"/>
          <w:sz w:val="24"/>
          <w:szCs w:val="24"/>
          <w:shd w:val="clear" w:color="auto" w:fill="FFFFFF"/>
          <w:lang w:val="en-US" w:eastAsia="zh-CN"/>
        </w:rPr>
        <w:t>商务部分</w:t>
      </w:r>
      <w:r>
        <w:rPr>
          <w:rFonts w:hint="eastAsia" w:ascii="仿宋" w:hAnsi="仿宋" w:eastAsia="仿宋" w:cs="仿宋"/>
          <w:i w:val="0"/>
          <w:iCs w:val="0"/>
          <w:caps w:val="0"/>
          <w:color w:val="auto"/>
          <w:spacing w:val="0"/>
          <w:sz w:val="24"/>
          <w:szCs w:val="24"/>
          <w:shd w:val="clear" w:color="auto" w:fill="FFFFFF"/>
          <w:lang w:eastAsia="zh-CN"/>
        </w:rPr>
        <w:t>及</w:t>
      </w:r>
      <w:r>
        <w:rPr>
          <w:rFonts w:hint="eastAsia" w:ascii="仿宋" w:hAnsi="仿宋" w:eastAsia="仿宋" w:cs="仿宋"/>
          <w:i w:val="0"/>
          <w:iCs w:val="0"/>
          <w:caps w:val="0"/>
          <w:color w:val="auto"/>
          <w:spacing w:val="0"/>
          <w:sz w:val="24"/>
          <w:szCs w:val="24"/>
          <w:shd w:val="clear" w:color="auto" w:fill="FFFFFF"/>
        </w:rPr>
        <w:t>竞选报价</w:t>
      </w:r>
      <w:r>
        <w:rPr>
          <w:rFonts w:hint="eastAsia" w:ascii="仿宋" w:hAnsi="仿宋" w:eastAsia="仿宋" w:cs="仿宋"/>
          <w:i w:val="0"/>
          <w:iCs w:val="0"/>
          <w:caps w:val="0"/>
          <w:color w:val="auto"/>
          <w:spacing w:val="0"/>
          <w:sz w:val="24"/>
          <w:szCs w:val="24"/>
          <w:shd w:val="clear" w:color="auto" w:fill="FFFFFF"/>
          <w:lang w:val="en-US" w:eastAsia="zh-CN"/>
        </w:rPr>
        <w:t>3</w:t>
      </w:r>
      <w:r>
        <w:rPr>
          <w:rFonts w:hint="eastAsia" w:ascii="仿宋" w:hAnsi="仿宋" w:eastAsia="仿宋" w:cs="仿宋"/>
          <w:i w:val="0"/>
          <w:iCs w:val="0"/>
          <w:caps w:val="0"/>
          <w:color w:val="auto"/>
          <w:spacing w:val="0"/>
          <w:sz w:val="24"/>
          <w:szCs w:val="24"/>
          <w:shd w:val="clear" w:color="auto" w:fill="FFFFFF"/>
        </w:rPr>
        <w:t>项评审因素组成。各项评审因素分数为100分，选取人根据本办法的规定自行确定各评审因素所占总分权重，权数总和为1.0。</w:t>
      </w:r>
    </w:p>
    <w:tbl>
      <w:tblPr>
        <w:tblStyle w:val="6"/>
        <w:tblW w:w="0" w:type="auto"/>
        <w:tblInd w:w="35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19"/>
        <w:gridCol w:w="5031"/>
        <w:gridCol w:w="26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3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5128"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评审因素</w:t>
            </w:r>
          </w:p>
        </w:tc>
        <w:tc>
          <w:tcPr>
            <w:tcW w:w="2718"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权重取值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3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仿宋" w:hAnsi="仿宋" w:eastAsia="仿宋" w:cs="仿宋"/>
                <w:color w:val="auto"/>
                <w:sz w:val="24"/>
                <w:szCs w:val="24"/>
              </w:rPr>
            </w:pPr>
            <w:r>
              <w:rPr>
                <w:rFonts w:hint="eastAsia" w:ascii="仿宋" w:hAnsi="仿宋" w:eastAsia="仿宋" w:cs="仿宋"/>
                <w:b/>
                <w:bCs/>
                <w:i w:val="0"/>
                <w:iCs w:val="0"/>
                <w:caps w:val="0"/>
                <w:color w:val="auto"/>
                <w:spacing w:val="0"/>
                <w:sz w:val="24"/>
                <w:szCs w:val="24"/>
              </w:rPr>
              <w:t>1</w:t>
            </w:r>
          </w:p>
        </w:tc>
        <w:tc>
          <w:tcPr>
            <w:tcW w:w="512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rPr>
              <w:t>招标代理</w:t>
            </w:r>
            <w:r>
              <w:rPr>
                <w:rFonts w:hint="eastAsia" w:ascii="仿宋" w:hAnsi="仿宋" w:eastAsia="仿宋" w:cs="仿宋"/>
                <w:i w:val="0"/>
                <w:iCs w:val="0"/>
                <w:caps w:val="0"/>
                <w:color w:val="auto"/>
                <w:spacing w:val="0"/>
                <w:sz w:val="24"/>
                <w:szCs w:val="24"/>
                <w:lang w:val="en-US" w:eastAsia="zh-CN"/>
              </w:rPr>
              <w:t>服务</w:t>
            </w:r>
            <w:r>
              <w:rPr>
                <w:rFonts w:hint="eastAsia" w:ascii="仿宋" w:hAnsi="仿宋" w:eastAsia="仿宋" w:cs="仿宋"/>
                <w:i w:val="0"/>
                <w:iCs w:val="0"/>
                <w:caps w:val="0"/>
                <w:color w:val="auto"/>
                <w:spacing w:val="0"/>
                <w:sz w:val="24"/>
                <w:szCs w:val="24"/>
              </w:rPr>
              <w:t>方案</w:t>
            </w:r>
          </w:p>
        </w:tc>
        <w:tc>
          <w:tcPr>
            <w:tcW w:w="27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仿宋" w:hAnsi="仿宋" w:eastAsia="仿宋" w:cs="仿宋"/>
                <w:i w:val="0"/>
                <w:iCs w:val="0"/>
                <w:caps w:val="0"/>
                <w:color w:val="auto"/>
                <w:spacing w:val="0"/>
                <w:sz w:val="24"/>
                <w:szCs w:val="24"/>
                <w:lang w:val="en-US" w:eastAsia="zh-CN"/>
              </w:rPr>
            </w:pPr>
            <w:r>
              <w:rPr>
                <w:rFonts w:hint="eastAsia" w:ascii="仿宋" w:hAnsi="仿宋" w:eastAsia="仿宋" w:cs="仿宋"/>
                <w:i w:val="0"/>
                <w:iCs w:val="0"/>
                <w:caps w:val="0"/>
                <w:color w:val="auto"/>
                <w:spacing w:val="0"/>
                <w:sz w:val="24"/>
                <w:szCs w:val="24"/>
                <w:lang w:val="en-US" w:eastAsia="zh-CN"/>
              </w:rPr>
              <w:t>0.60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3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仿宋" w:hAnsi="仿宋" w:eastAsia="仿宋" w:cs="仿宋"/>
                <w:color w:val="auto"/>
                <w:sz w:val="24"/>
                <w:szCs w:val="24"/>
              </w:rPr>
            </w:pPr>
            <w:r>
              <w:rPr>
                <w:rFonts w:hint="eastAsia" w:ascii="仿宋" w:hAnsi="仿宋" w:eastAsia="仿宋" w:cs="仿宋"/>
                <w:b/>
                <w:bCs/>
                <w:i w:val="0"/>
                <w:iCs w:val="0"/>
                <w:caps w:val="0"/>
                <w:color w:val="auto"/>
                <w:spacing w:val="0"/>
                <w:sz w:val="24"/>
                <w:szCs w:val="24"/>
              </w:rPr>
              <w:t>2</w:t>
            </w:r>
          </w:p>
        </w:tc>
        <w:tc>
          <w:tcPr>
            <w:tcW w:w="512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商务部分</w:t>
            </w:r>
          </w:p>
        </w:tc>
        <w:tc>
          <w:tcPr>
            <w:tcW w:w="27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仿宋" w:hAnsi="仿宋" w:eastAsia="仿宋" w:cs="仿宋"/>
                <w:i w:val="0"/>
                <w:iCs w:val="0"/>
                <w:caps w:val="0"/>
                <w:color w:val="auto"/>
                <w:spacing w:val="0"/>
                <w:sz w:val="24"/>
                <w:szCs w:val="24"/>
                <w:lang w:val="en-US" w:eastAsia="zh-CN"/>
              </w:rPr>
            </w:pPr>
            <w:r>
              <w:rPr>
                <w:rFonts w:hint="eastAsia" w:ascii="仿宋" w:hAnsi="仿宋" w:eastAsia="仿宋" w:cs="仿宋"/>
                <w:i w:val="0"/>
                <w:iCs w:val="0"/>
                <w:caps w:val="0"/>
                <w:color w:val="auto"/>
                <w:spacing w:val="0"/>
                <w:sz w:val="24"/>
                <w:szCs w:val="24"/>
                <w:lang w:val="en-US" w:eastAsia="zh-CN"/>
              </w:rPr>
              <w:t>0.30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23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仿宋" w:hAnsi="仿宋" w:eastAsia="仿宋" w:cs="仿宋"/>
                <w:color w:val="auto"/>
                <w:sz w:val="24"/>
                <w:szCs w:val="24"/>
              </w:rPr>
            </w:pPr>
            <w:r>
              <w:rPr>
                <w:rFonts w:hint="eastAsia" w:ascii="仿宋" w:hAnsi="仿宋" w:eastAsia="仿宋" w:cs="仿宋"/>
                <w:b/>
                <w:bCs/>
                <w:i w:val="0"/>
                <w:iCs w:val="0"/>
                <w:caps w:val="0"/>
                <w:color w:val="auto"/>
                <w:spacing w:val="0"/>
                <w:sz w:val="24"/>
                <w:szCs w:val="24"/>
              </w:rPr>
              <w:t>4</w:t>
            </w:r>
          </w:p>
        </w:tc>
        <w:tc>
          <w:tcPr>
            <w:tcW w:w="512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rPr>
              <w:t>竞选报价</w:t>
            </w:r>
          </w:p>
        </w:tc>
        <w:tc>
          <w:tcPr>
            <w:tcW w:w="27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仿宋" w:hAnsi="仿宋" w:eastAsia="仿宋" w:cs="仿宋"/>
                <w:i w:val="0"/>
                <w:iCs w:val="0"/>
                <w:caps w:val="0"/>
                <w:color w:val="auto"/>
                <w:spacing w:val="0"/>
                <w:sz w:val="24"/>
                <w:szCs w:val="24"/>
                <w:lang w:val="en-US" w:eastAsia="zh-CN"/>
              </w:rPr>
            </w:pPr>
            <w:r>
              <w:rPr>
                <w:rFonts w:hint="eastAsia" w:ascii="仿宋" w:hAnsi="仿宋" w:eastAsia="仿宋" w:cs="仿宋"/>
                <w:i w:val="0"/>
                <w:iCs w:val="0"/>
                <w:caps w:val="0"/>
                <w:color w:val="auto"/>
                <w:spacing w:val="0"/>
                <w:sz w:val="24"/>
                <w:szCs w:val="24"/>
                <w:lang w:val="en-US" w:eastAsia="zh-CN"/>
              </w:rPr>
              <w:t>0.10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360"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仿宋" w:hAnsi="仿宋" w:eastAsia="仿宋" w:cs="仿宋"/>
                <w:color w:val="auto"/>
                <w:sz w:val="24"/>
                <w:szCs w:val="24"/>
              </w:rPr>
            </w:pPr>
            <w:r>
              <w:rPr>
                <w:rFonts w:hint="eastAsia" w:ascii="仿宋" w:hAnsi="仿宋" w:eastAsia="仿宋" w:cs="仿宋"/>
                <w:b/>
                <w:bCs/>
                <w:i w:val="0"/>
                <w:iCs w:val="0"/>
                <w:caps w:val="0"/>
                <w:color w:val="auto"/>
                <w:spacing w:val="0"/>
                <w:sz w:val="24"/>
                <w:szCs w:val="24"/>
              </w:rPr>
              <w:t>总 计</w:t>
            </w:r>
          </w:p>
        </w:tc>
        <w:tc>
          <w:tcPr>
            <w:tcW w:w="27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仿宋" w:hAnsi="仿宋" w:eastAsia="仿宋" w:cs="仿宋"/>
                <w:b/>
                <w:bCs/>
                <w:i w:val="0"/>
                <w:iCs w:val="0"/>
                <w:caps w:val="0"/>
                <w:color w:val="auto"/>
                <w:spacing w:val="0"/>
                <w:sz w:val="24"/>
                <w:szCs w:val="24"/>
                <w:lang w:val="en-US" w:eastAsia="zh-CN"/>
              </w:rPr>
            </w:pPr>
            <w:r>
              <w:rPr>
                <w:rFonts w:hint="eastAsia" w:ascii="仿宋" w:hAnsi="仿宋" w:eastAsia="仿宋" w:cs="仿宋"/>
                <w:b/>
                <w:bCs/>
                <w:i w:val="0"/>
                <w:iCs w:val="0"/>
                <w:caps w:val="0"/>
                <w:color w:val="auto"/>
                <w:spacing w:val="0"/>
                <w:sz w:val="24"/>
                <w:szCs w:val="24"/>
                <w:lang w:val="en-US" w:eastAsia="zh-CN"/>
              </w:rPr>
              <w:t>1.0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300"/>
        <w:jc w:val="left"/>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lang w:eastAsia="zh-CN"/>
        </w:rPr>
        <w:t>二</w:t>
      </w:r>
      <w:r>
        <w:rPr>
          <w:rFonts w:hint="eastAsia" w:ascii="仿宋" w:hAnsi="仿宋" w:eastAsia="仿宋" w:cs="仿宋"/>
          <w:i w:val="0"/>
          <w:iCs w:val="0"/>
          <w:caps w:val="0"/>
          <w:color w:val="auto"/>
          <w:spacing w:val="0"/>
          <w:sz w:val="24"/>
          <w:szCs w:val="24"/>
          <w:shd w:val="clear" w:color="auto" w:fill="FFFFFF"/>
        </w:rPr>
        <w:t>、评审程序与方法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17"/>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评审委员会先对竞选人进行资格条件审查，不符合资格条件要求的，作无效文件处理；然后按照</w:t>
      </w:r>
      <w:r>
        <w:rPr>
          <w:rFonts w:hint="eastAsia" w:ascii="仿宋" w:hAnsi="仿宋" w:eastAsia="仿宋" w:cs="仿宋"/>
          <w:i w:val="0"/>
          <w:iCs w:val="0"/>
          <w:caps w:val="0"/>
          <w:color w:val="auto"/>
          <w:spacing w:val="0"/>
          <w:sz w:val="24"/>
          <w:szCs w:val="24"/>
          <w:shd w:val="clear" w:color="auto" w:fill="FFFFFF"/>
          <w:lang w:eastAsia="zh-CN"/>
        </w:rPr>
        <w:t>竞选办法</w:t>
      </w:r>
      <w:r>
        <w:rPr>
          <w:rFonts w:hint="eastAsia" w:ascii="仿宋" w:hAnsi="仿宋" w:eastAsia="仿宋" w:cs="仿宋"/>
          <w:i w:val="0"/>
          <w:iCs w:val="0"/>
          <w:caps w:val="0"/>
          <w:color w:val="auto"/>
          <w:spacing w:val="0"/>
          <w:sz w:val="24"/>
          <w:szCs w:val="24"/>
          <w:shd w:val="clear" w:color="auto" w:fill="FFFFFF"/>
        </w:rPr>
        <w:t>确定的评审因素标准、权重对有效竞选</w:t>
      </w:r>
      <w:r>
        <w:rPr>
          <w:rFonts w:hint="eastAsia" w:ascii="仿宋" w:hAnsi="仿宋" w:eastAsia="仿宋" w:cs="仿宋"/>
          <w:i w:val="0"/>
          <w:iCs w:val="0"/>
          <w:caps w:val="0"/>
          <w:color w:val="auto"/>
          <w:spacing w:val="0"/>
          <w:sz w:val="24"/>
          <w:szCs w:val="24"/>
          <w:shd w:val="clear" w:color="auto" w:fill="FFFFFF"/>
          <w:lang w:eastAsia="zh-CN"/>
        </w:rPr>
        <w:t>响应</w:t>
      </w:r>
      <w:r>
        <w:rPr>
          <w:rFonts w:hint="eastAsia" w:ascii="仿宋" w:hAnsi="仿宋" w:eastAsia="仿宋" w:cs="仿宋"/>
          <w:i w:val="0"/>
          <w:iCs w:val="0"/>
          <w:caps w:val="0"/>
          <w:color w:val="auto"/>
          <w:spacing w:val="0"/>
          <w:sz w:val="24"/>
          <w:szCs w:val="24"/>
          <w:shd w:val="clear" w:color="auto" w:fill="FFFFFF"/>
        </w:rPr>
        <w:t>文件作出详细评审：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17"/>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（一）招标代理</w:t>
      </w:r>
      <w:r>
        <w:rPr>
          <w:rFonts w:hint="eastAsia" w:ascii="仿宋" w:hAnsi="仿宋" w:eastAsia="仿宋" w:cs="仿宋"/>
          <w:i w:val="0"/>
          <w:iCs w:val="0"/>
          <w:caps w:val="0"/>
          <w:color w:val="auto"/>
          <w:spacing w:val="0"/>
          <w:sz w:val="24"/>
          <w:szCs w:val="24"/>
          <w:shd w:val="clear" w:color="auto" w:fill="FFFFFF"/>
          <w:lang w:val="en-US" w:eastAsia="zh-CN"/>
        </w:rPr>
        <w:t>服务</w:t>
      </w:r>
      <w:r>
        <w:rPr>
          <w:rFonts w:hint="eastAsia" w:ascii="仿宋" w:hAnsi="仿宋" w:eastAsia="仿宋" w:cs="仿宋"/>
          <w:i w:val="0"/>
          <w:iCs w:val="0"/>
          <w:caps w:val="0"/>
          <w:color w:val="auto"/>
          <w:spacing w:val="0"/>
          <w:sz w:val="24"/>
          <w:szCs w:val="24"/>
          <w:shd w:val="clear" w:color="auto" w:fill="FFFFFF"/>
        </w:rPr>
        <w:t>方案评审。此项为</w:t>
      </w:r>
      <w:r>
        <w:rPr>
          <w:rFonts w:hint="eastAsia" w:ascii="仿宋" w:hAnsi="仿宋" w:eastAsia="仿宋" w:cs="仿宋"/>
          <w:i w:val="0"/>
          <w:iCs w:val="0"/>
          <w:caps w:val="0"/>
          <w:color w:val="auto"/>
          <w:spacing w:val="0"/>
          <w:sz w:val="24"/>
          <w:szCs w:val="24"/>
          <w:shd w:val="clear" w:color="auto" w:fill="FFFFFF"/>
          <w:lang w:eastAsia="zh-CN"/>
        </w:rPr>
        <w:t>明</w:t>
      </w:r>
      <w:r>
        <w:rPr>
          <w:rFonts w:hint="eastAsia" w:ascii="仿宋" w:hAnsi="仿宋" w:eastAsia="仿宋" w:cs="仿宋"/>
          <w:i w:val="0"/>
          <w:iCs w:val="0"/>
          <w:caps w:val="0"/>
          <w:color w:val="auto"/>
          <w:spacing w:val="0"/>
          <w:sz w:val="24"/>
          <w:szCs w:val="24"/>
          <w:shd w:val="clear" w:color="auto" w:fill="FFFFFF"/>
        </w:rPr>
        <w:t>标，评审委员会依据附件</w:t>
      </w:r>
      <w:r>
        <w:rPr>
          <w:rFonts w:hint="eastAsia" w:ascii="仿宋" w:hAnsi="仿宋" w:eastAsia="仿宋" w:cs="仿宋"/>
          <w:i w:val="0"/>
          <w:iCs w:val="0"/>
          <w:caps w:val="0"/>
          <w:color w:val="auto"/>
          <w:spacing w:val="0"/>
          <w:sz w:val="24"/>
          <w:szCs w:val="24"/>
          <w:shd w:val="clear" w:color="auto" w:fill="FFFFFF"/>
          <w:lang w:val="en-US" w:eastAsia="zh-CN"/>
        </w:rPr>
        <w:t>3</w:t>
      </w:r>
      <w:r>
        <w:rPr>
          <w:rFonts w:hint="eastAsia" w:ascii="仿宋" w:hAnsi="仿宋" w:eastAsia="仿宋" w:cs="仿宋"/>
          <w:i w:val="0"/>
          <w:iCs w:val="0"/>
          <w:caps w:val="0"/>
          <w:color w:val="auto"/>
          <w:spacing w:val="0"/>
          <w:sz w:val="24"/>
          <w:szCs w:val="24"/>
          <w:shd w:val="clear" w:color="auto" w:fill="FFFFFF"/>
        </w:rPr>
        <w:t>-1评分细则对招标代理方案进行评审，作出评审记录。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17"/>
        <w:jc w:val="both"/>
        <w:rPr>
          <w:rFonts w:hint="default" w:ascii="仿宋" w:hAnsi="仿宋" w:eastAsia="仿宋" w:cs="仿宋"/>
          <w:i w:val="0"/>
          <w:iCs w:val="0"/>
          <w:caps w:val="0"/>
          <w:color w:val="auto"/>
          <w:spacing w:val="0"/>
          <w:sz w:val="24"/>
          <w:szCs w:val="24"/>
          <w:lang w:val="en-US" w:eastAsia="zh-CN"/>
        </w:rPr>
      </w:pPr>
      <w:r>
        <w:rPr>
          <w:rFonts w:hint="eastAsia" w:ascii="仿宋" w:hAnsi="仿宋" w:eastAsia="仿宋" w:cs="仿宋"/>
          <w:i w:val="0"/>
          <w:iCs w:val="0"/>
          <w:caps w:val="0"/>
          <w:color w:val="auto"/>
          <w:spacing w:val="0"/>
          <w:sz w:val="24"/>
          <w:szCs w:val="24"/>
          <w:shd w:val="clear" w:color="auto" w:fill="FFFFFF"/>
        </w:rPr>
        <w:t>（二）</w:t>
      </w:r>
      <w:r>
        <w:rPr>
          <w:rFonts w:hint="eastAsia" w:ascii="仿宋" w:hAnsi="仿宋" w:eastAsia="仿宋" w:cs="仿宋"/>
          <w:i w:val="0"/>
          <w:iCs w:val="0"/>
          <w:caps w:val="0"/>
          <w:color w:val="auto"/>
          <w:spacing w:val="0"/>
          <w:sz w:val="24"/>
          <w:szCs w:val="24"/>
          <w:shd w:val="clear" w:color="auto" w:fill="FFFFFF"/>
          <w:lang w:val="en-US" w:eastAsia="zh-CN"/>
        </w:rPr>
        <w:t>商务部分</w:t>
      </w:r>
      <w:r>
        <w:rPr>
          <w:rFonts w:hint="eastAsia" w:ascii="仿宋" w:hAnsi="仿宋" w:eastAsia="仿宋" w:cs="仿宋"/>
          <w:i w:val="0"/>
          <w:iCs w:val="0"/>
          <w:caps w:val="0"/>
          <w:color w:val="auto"/>
          <w:spacing w:val="0"/>
          <w:sz w:val="24"/>
          <w:szCs w:val="24"/>
          <w:shd w:val="clear" w:color="auto" w:fill="FFFFFF"/>
        </w:rPr>
        <w:t>评审。</w:t>
      </w:r>
      <w:r>
        <w:rPr>
          <w:rFonts w:hint="eastAsia" w:ascii="仿宋" w:hAnsi="仿宋" w:eastAsia="仿宋" w:cs="仿宋"/>
          <w:i w:val="0"/>
          <w:iCs w:val="0"/>
          <w:caps w:val="0"/>
          <w:color w:val="auto"/>
          <w:spacing w:val="0"/>
          <w:sz w:val="24"/>
          <w:szCs w:val="24"/>
          <w:shd w:val="clear" w:color="auto" w:fill="FFFFFF"/>
          <w:lang w:val="en-US" w:eastAsia="zh-CN"/>
        </w:rPr>
        <w:t>评标委员会</w:t>
      </w:r>
      <w:r>
        <w:rPr>
          <w:rFonts w:hint="eastAsia" w:ascii="仿宋" w:hAnsi="仿宋" w:eastAsia="仿宋" w:cs="仿宋"/>
          <w:i w:val="0"/>
          <w:iCs w:val="0"/>
          <w:caps w:val="0"/>
          <w:color w:val="auto"/>
          <w:spacing w:val="0"/>
          <w:sz w:val="24"/>
          <w:szCs w:val="24"/>
          <w:shd w:val="clear" w:color="auto" w:fill="FFFFFF"/>
        </w:rPr>
        <w:t>依据附件</w:t>
      </w:r>
      <w:r>
        <w:rPr>
          <w:rFonts w:hint="eastAsia" w:ascii="仿宋" w:hAnsi="仿宋" w:eastAsia="仿宋" w:cs="仿宋"/>
          <w:i w:val="0"/>
          <w:iCs w:val="0"/>
          <w:caps w:val="0"/>
          <w:color w:val="auto"/>
          <w:spacing w:val="0"/>
          <w:sz w:val="24"/>
          <w:szCs w:val="24"/>
          <w:shd w:val="clear" w:color="auto" w:fill="FFFFFF"/>
          <w:lang w:val="en-US" w:eastAsia="zh-CN"/>
        </w:rPr>
        <w:t>3</w:t>
      </w:r>
      <w:r>
        <w:rPr>
          <w:rFonts w:hint="eastAsia" w:ascii="仿宋" w:hAnsi="仿宋" w:eastAsia="仿宋" w:cs="仿宋"/>
          <w:i w:val="0"/>
          <w:iCs w:val="0"/>
          <w:caps w:val="0"/>
          <w:color w:val="auto"/>
          <w:spacing w:val="0"/>
          <w:sz w:val="24"/>
          <w:szCs w:val="24"/>
          <w:shd w:val="clear" w:color="auto" w:fill="FFFFFF"/>
        </w:rPr>
        <w:t>-</w:t>
      </w:r>
      <w:r>
        <w:rPr>
          <w:rFonts w:hint="eastAsia" w:ascii="仿宋" w:hAnsi="仿宋" w:eastAsia="仿宋" w:cs="仿宋"/>
          <w:i w:val="0"/>
          <w:iCs w:val="0"/>
          <w:caps w:val="0"/>
          <w:color w:val="auto"/>
          <w:spacing w:val="0"/>
          <w:sz w:val="24"/>
          <w:szCs w:val="24"/>
          <w:shd w:val="clear" w:color="auto" w:fill="FFFFFF"/>
          <w:lang w:val="en-US" w:eastAsia="zh-CN"/>
        </w:rPr>
        <w:t>3</w:t>
      </w:r>
      <w:r>
        <w:rPr>
          <w:rFonts w:hint="eastAsia" w:ascii="仿宋" w:hAnsi="仿宋" w:eastAsia="仿宋" w:cs="仿宋"/>
          <w:i w:val="0"/>
          <w:iCs w:val="0"/>
          <w:caps w:val="0"/>
          <w:color w:val="auto"/>
          <w:spacing w:val="0"/>
          <w:sz w:val="24"/>
          <w:szCs w:val="24"/>
          <w:shd w:val="clear" w:color="auto" w:fill="FFFFFF"/>
        </w:rPr>
        <w:t>评分细则对招标代理方案进行评审，作出评审记录。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17"/>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（三）竞选报价得分的计算。计算程序如下：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17"/>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1．对于竞选报价超出竞选报价区间的竞选</w:t>
      </w:r>
      <w:r>
        <w:rPr>
          <w:rFonts w:hint="eastAsia" w:ascii="仿宋" w:hAnsi="仿宋" w:eastAsia="仿宋" w:cs="仿宋"/>
          <w:i w:val="0"/>
          <w:iCs w:val="0"/>
          <w:caps w:val="0"/>
          <w:color w:val="auto"/>
          <w:spacing w:val="0"/>
          <w:sz w:val="24"/>
          <w:szCs w:val="24"/>
          <w:shd w:val="clear" w:color="auto" w:fill="FFFFFF"/>
          <w:lang w:eastAsia="zh-CN"/>
        </w:rPr>
        <w:t>响应</w:t>
      </w:r>
      <w:r>
        <w:rPr>
          <w:rFonts w:hint="eastAsia" w:ascii="仿宋" w:hAnsi="仿宋" w:eastAsia="仿宋" w:cs="仿宋"/>
          <w:i w:val="0"/>
          <w:iCs w:val="0"/>
          <w:caps w:val="0"/>
          <w:color w:val="auto"/>
          <w:spacing w:val="0"/>
          <w:sz w:val="24"/>
          <w:szCs w:val="24"/>
          <w:shd w:val="clear" w:color="auto" w:fill="FFFFFF"/>
        </w:rPr>
        <w:t>文件作出否决；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11"/>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2．依据附件</w:t>
      </w:r>
      <w:r>
        <w:rPr>
          <w:rFonts w:hint="eastAsia" w:ascii="仿宋" w:hAnsi="仿宋" w:eastAsia="仿宋" w:cs="仿宋"/>
          <w:i w:val="0"/>
          <w:iCs w:val="0"/>
          <w:caps w:val="0"/>
          <w:color w:val="auto"/>
          <w:spacing w:val="0"/>
          <w:sz w:val="24"/>
          <w:szCs w:val="24"/>
          <w:shd w:val="clear" w:color="auto" w:fill="FFFFFF"/>
          <w:lang w:val="en-US" w:eastAsia="zh-CN"/>
        </w:rPr>
        <w:t>3</w:t>
      </w:r>
      <w:r>
        <w:rPr>
          <w:rFonts w:hint="eastAsia" w:ascii="仿宋" w:hAnsi="仿宋" w:eastAsia="仿宋" w:cs="仿宋"/>
          <w:i w:val="0"/>
          <w:iCs w:val="0"/>
          <w:caps w:val="0"/>
          <w:color w:val="auto"/>
          <w:spacing w:val="0"/>
          <w:sz w:val="24"/>
          <w:szCs w:val="24"/>
          <w:shd w:val="clear" w:color="auto" w:fill="FFFFFF"/>
        </w:rPr>
        <w:t>-2评分细则计算报价得分。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24"/>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（四）竞选</w:t>
      </w:r>
      <w:r>
        <w:rPr>
          <w:rFonts w:hint="eastAsia" w:ascii="仿宋" w:hAnsi="仿宋" w:eastAsia="仿宋" w:cs="仿宋"/>
          <w:i w:val="0"/>
          <w:iCs w:val="0"/>
          <w:caps w:val="0"/>
          <w:color w:val="auto"/>
          <w:spacing w:val="0"/>
          <w:sz w:val="24"/>
          <w:szCs w:val="24"/>
          <w:shd w:val="clear" w:color="auto" w:fill="FFFFFF"/>
          <w:lang w:eastAsia="zh-CN"/>
        </w:rPr>
        <w:t>响应</w:t>
      </w:r>
      <w:r>
        <w:rPr>
          <w:rFonts w:hint="eastAsia" w:ascii="仿宋" w:hAnsi="仿宋" w:eastAsia="仿宋" w:cs="仿宋"/>
          <w:i w:val="0"/>
          <w:iCs w:val="0"/>
          <w:caps w:val="0"/>
          <w:color w:val="auto"/>
          <w:spacing w:val="0"/>
          <w:sz w:val="24"/>
          <w:szCs w:val="24"/>
          <w:shd w:val="clear" w:color="auto" w:fill="FFFFFF"/>
        </w:rPr>
        <w:t>文件总分的计算。根据</w:t>
      </w:r>
      <w:r>
        <w:rPr>
          <w:rFonts w:hint="eastAsia" w:ascii="仿宋" w:hAnsi="仿宋" w:eastAsia="仿宋" w:cs="仿宋"/>
          <w:i w:val="0"/>
          <w:iCs w:val="0"/>
          <w:caps w:val="0"/>
          <w:color w:val="auto"/>
          <w:spacing w:val="0"/>
          <w:sz w:val="24"/>
          <w:szCs w:val="24"/>
          <w:shd w:val="clear" w:color="auto" w:fill="FFFFFF"/>
          <w:lang w:eastAsia="zh-CN"/>
        </w:rPr>
        <w:t>本章第一条</w:t>
      </w:r>
      <w:r>
        <w:rPr>
          <w:rFonts w:hint="eastAsia" w:ascii="仿宋" w:hAnsi="仿宋" w:eastAsia="仿宋" w:cs="仿宋"/>
          <w:i w:val="0"/>
          <w:iCs w:val="0"/>
          <w:caps w:val="0"/>
          <w:color w:val="auto"/>
          <w:spacing w:val="0"/>
          <w:sz w:val="24"/>
          <w:szCs w:val="24"/>
          <w:shd w:val="clear" w:color="auto" w:fill="FFFFFF"/>
        </w:rPr>
        <w:t>确定的权重，计算各评审因素加权得分后，再对加权得分累加计算最终竞选</w:t>
      </w:r>
      <w:r>
        <w:rPr>
          <w:rFonts w:hint="eastAsia" w:ascii="仿宋" w:hAnsi="仿宋" w:eastAsia="仿宋" w:cs="仿宋"/>
          <w:i w:val="0"/>
          <w:iCs w:val="0"/>
          <w:caps w:val="0"/>
          <w:color w:val="auto"/>
          <w:spacing w:val="0"/>
          <w:sz w:val="24"/>
          <w:szCs w:val="24"/>
          <w:shd w:val="clear" w:color="auto" w:fill="FFFFFF"/>
          <w:lang w:eastAsia="zh-CN"/>
        </w:rPr>
        <w:t>响应</w:t>
      </w:r>
      <w:r>
        <w:rPr>
          <w:rFonts w:hint="eastAsia" w:ascii="仿宋" w:hAnsi="仿宋" w:eastAsia="仿宋" w:cs="仿宋"/>
          <w:i w:val="0"/>
          <w:iCs w:val="0"/>
          <w:caps w:val="0"/>
          <w:color w:val="auto"/>
          <w:spacing w:val="0"/>
          <w:sz w:val="24"/>
          <w:szCs w:val="24"/>
          <w:shd w:val="clear" w:color="auto" w:fill="FFFFFF"/>
        </w:rPr>
        <w:t>文件总分。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24"/>
        <w:jc w:val="left"/>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lang w:eastAsia="zh-CN"/>
        </w:rPr>
        <w:t>三</w:t>
      </w:r>
      <w:r>
        <w:rPr>
          <w:rFonts w:hint="eastAsia" w:ascii="仿宋" w:hAnsi="仿宋" w:eastAsia="仿宋" w:cs="仿宋"/>
          <w:i w:val="0"/>
          <w:iCs w:val="0"/>
          <w:caps w:val="0"/>
          <w:color w:val="auto"/>
          <w:spacing w:val="0"/>
          <w:sz w:val="24"/>
          <w:szCs w:val="24"/>
          <w:shd w:val="clear" w:color="auto" w:fill="FFFFFF"/>
        </w:rPr>
        <w:t>、中选候选人的确定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17"/>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评审委员会按总分结果排出前三名，排名第一的为第一中选候选人，排名第二、第三的为第二、第三中选候选人；总分相同时，评审委员会按本办法招标代理方案、</w:t>
      </w:r>
      <w:r>
        <w:rPr>
          <w:rFonts w:hint="eastAsia" w:ascii="仿宋" w:hAnsi="仿宋" w:eastAsia="仿宋" w:cs="仿宋"/>
          <w:i w:val="0"/>
          <w:iCs w:val="0"/>
          <w:caps w:val="0"/>
          <w:color w:val="auto"/>
          <w:spacing w:val="0"/>
          <w:sz w:val="24"/>
          <w:szCs w:val="24"/>
          <w:shd w:val="clear" w:color="auto" w:fill="FFFFFF"/>
          <w:lang w:eastAsia="zh-CN"/>
        </w:rPr>
        <w:t>竞选</w:t>
      </w:r>
      <w:r>
        <w:rPr>
          <w:rFonts w:hint="eastAsia" w:ascii="仿宋" w:hAnsi="仿宋" w:eastAsia="仿宋" w:cs="仿宋"/>
          <w:i w:val="0"/>
          <w:iCs w:val="0"/>
          <w:caps w:val="0"/>
          <w:color w:val="auto"/>
          <w:spacing w:val="0"/>
          <w:sz w:val="24"/>
          <w:szCs w:val="24"/>
          <w:shd w:val="clear" w:color="auto" w:fill="FFFFFF"/>
        </w:rPr>
        <w:t>报价</w:t>
      </w:r>
      <w:r>
        <w:rPr>
          <w:rFonts w:hint="eastAsia" w:ascii="仿宋" w:hAnsi="仿宋" w:eastAsia="仿宋" w:cs="仿宋"/>
          <w:i w:val="0"/>
          <w:iCs w:val="0"/>
          <w:caps w:val="0"/>
          <w:color w:val="auto"/>
          <w:spacing w:val="0"/>
          <w:sz w:val="24"/>
          <w:szCs w:val="24"/>
          <w:shd w:val="clear" w:color="auto" w:fill="FFFFFF"/>
          <w:lang w:eastAsia="zh-CN"/>
        </w:rPr>
        <w:t>、</w:t>
      </w:r>
      <w:r>
        <w:rPr>
          <w:rFonts w:hint="eastAsia" w:ascii="仿宋" w:hAnsi="仿宋" w:eastAsia="仿宋" w:cs="仿宋"/>
          <w:i w:val="0"/>
          <w:iCs w:val="0"/>
          <w:caps w:val="0"/>
          <w:color w:val="auto"/>
          <w:spacing w:val="0"/>
          <w:sz w:val="24"/>
          <w:szCs w:val="24"/>
          <w:shd w:val="clear" w:color="auto" w:fill="FFFFFF"/>
          <w:lang w:val="en-US" w:eastAsia="zh-CN"/>
        </w:rPr>
        <w:t>商务部门</w:t>
      </w:r>
      <w:r>
        <w:rPr>
          <w:rFonts w:hint="eastAsia" w:ascii="仿宋" w:hAnsi="仿宋" w:eastAsia="仿宋" w:cs="仿宋"/>
          <w:i w:val="0"/>
          <w:iCs w:val="0"/>
          <w:caps w:val="0"/>
          <w:color w:val="auto"/>
          <w:spacing w:val="0"/>
          <w:sz w:val="24"/>
          <w:szCs w:val="24"/>
          <w:shd w:val="clear" w:color="auto" w:fill="FFFFFF"/>
        </w:rPr>
        <w:t>得分依次确定中选候选人排序；如上述得分仍相同时，由评审委员会票决确定中选候选人排序。</w:t>
      </w:r>
    </w:p>
    <w:p>
      <w:pPr>
        <w:ind w:firstLine="480" w:firstLineChars="200"/>
        <w:rPr>
          <w:rFonts w:hint="eastAsia" w:ascii="仿宋" w:hAnsi="仿宋" w:eastAsia="仿宋" w:cs="仿宋"/>
          <w:bCs/>
          <w:color w:val="auto"/>
          <w:kern w:val="0"/>
          <w:sz w:val="24"/>
        </w:rPr>
      </w:pPr>
    </w:p>
    <w:p>
      <w:pPr>
        <w:ind w:firstLine="480" w:firstLineChars="200"/>
        <w:rPr>
          <w:rFonts w:hint="eastAsia" w:ascii="仿宋" w:hAnsi="仿宋" w:eastAsia="仿宋" w:cs="仿宋"/>
          <w:bCs/>
          <w:color w:val="auto"/>
          <w:kern w:val="0"/>
          <w:sz w:val="24"/>
        </w:rPr>
      </w:pPr>
    </w:p>
    <w:p>
      <w:pPr>
        <w:ind w:firstLine="480" w:firstLineChars="200"/>
        <w:rPr>
          <w:rFonts w:hint="eastAsia" w:ascii="仿宋" w:hAnsi="仿宋" w:eastAsia="仿宋" w:cs="仿宋"/>
          <w:bCs/>
          <w:color w:val="auto"/>
          <w:kern w:val="0"/>
          <w:sz w:val="24"/>
        </w:rPr>
      </w:pP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br w:type="page"/>
      </w:r>
      <w:r>
        <w:rPr>
          <w:rFonts w:hint="eastAsia" w:ascii="仿宋" w:hAnsi="仿宋" w:eastAsia="仿宋" w:cs="仿宋"/>
          <w:b/>
          <w:bCs/>
          <w:color w:val="auto"/>
          <w:sz w:val="28"/>
          <w:szCs w:val="28"/>
        </w:rPr>
        <w:t>附</w:t>
      </w:r>
      <w:r>
        <w:rPr>
          <w:rFonts w:hint="eastAsia" w:ascii="仿宋" w:hAnsi="仿宋" w:eastAsia="仿宋" w:cs="仿宋"/>
          <w:b/>
          <w:bCs/>
          <w:color w:val="auto"/>
          <w:sz w:val="28"/>
          <w:szCs w:val="28"/>
          <w:lang w:val="en-US" w:eastAsia="zh-CN"/>
        </w:rPr>
        <w:t>表1-</w:t>
      </w:r>
      <w:r>
        <w:rPr>
          <w:rFonts w:hint="eastAsia" w:ascii="仿宋" w:hAnsi="仿宋" w:eastAsia="仿宋" w:cs="仿宋"/>
          <w:b/>
          <w:bCs/>
          <w:color w:val="auto"/>
          <w:sz w:val="28"/>
          <w:szCs w:val="28"/>
        </w:rPr>
        <w:t xml:space="preserve">1  </w:t>
      </w:r>
    </w:p>
    <w:p>
      <w:pPr>
        <w:jc w:val="center"/>
        <w:rPr>
          <w:rFonts w:hint="eastAsia" w:ascii="仿宋" w:hAnsi="仿宋" w:eastAsia="仿宋" w:cs="仿宋"/>
          <w:color w:val="auto"/>
          <w:sz w:val="28"/>
          <w:szCs w:val="28"/>
          <w:highlight w:val="none"/>
          <w:lang w:eastAsia="zh-CN"/>
        </w:rPr>
      </w:pPr>
      <w:r>
        <w:rPr>
          <w:rFonts w:hint="eastAsia" w:ascii="仿宋" w:hAnsi="仿宋" w:eastAsia="仿宋" w:cs="仿宋"/>
          <w:b/>
          <w:bCs/>
          <w:color w:val="auto"/>
          <w:sz w:val="28"/>
          <w:szCs w:val="28"/>
          <w:highlight w:val="none"/>
          <w:lang w:eastAsia="zh-CN"/>
        </w:rPr>
        <w:t>招标代理方案评分表（</w:t>
      </w:r>
      <w:r>
        <w:rPr>
          <w:rFonts w:hint="eastAsia" w:ascii="仿宋" w:hAnsi="仿宋" w:eastAsia="仿宋" w:cs="仿宋"/>
          <w:b/>
          <w:bCs/>
          <w:color w:val="auto"/>
          <w:sz w:val="28"/>
          <w:szCs w:val="28"/>
          <w:highlight w:val="none"/>
          <w:lang w:val="en-US" w:eastAsia="zh-CN"/>
        </w:rPr>
        <w:t>100分</w:t>
      </w:r>
      <w:r>
        <w:rPr>
          <w:rFonts w:hint="eastAsia" w:ascii="仿宋" w:hAnsi="仿宋" w:eastAsia="仿宋" w:cs="仿宋"/>
          <w:b/>
          <w:bCs/>
          <w:color w:val="auto"/>
          <w:sz w:val="28"/>
          <w:szCs w:val="28"/>
          <w:highlight w:val="none"/>
          <w:lang w:eastAsia="zh-CN"/>
        </w:rPr>
        <w:t>）</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892"/>
        <w:gridCol w:w="1"/>
        <w:gridCol w:w="3844"/>
        <w:gridCol w:w="1094"/>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99"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289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评审</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内容</w:t>
            </w:r>
          </w:p>
        </w:tc>
        <w:tc>
          <w:tcPr>
            <w:tcW w:w="493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评审标准</w:t>
            </w:r>
          </w:p>
        </w:tc>
        <w:tc>
          <w:tcPr>
            <w:tcW w:w="8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评审</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99" w:type="dxa"/>
            <w:vMerge w:val="restart"/>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2893" w:type="dxa"/>
            <w:gridSpan w:val="2"/>
            <w:vMerge w:val="restart"/>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300"/>
              <w:jc w:val="center"/>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关键因素分析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300"/>
              <w:jc w:val="center"/>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（30分）</w:t>
            </w:r>
          </w:p>
        </w:tc>
        <w:tc>
          <w:tcPr>
            <w:tcW w:w="3844" w:type="dxa"/>
            <w:noWrap w:val="0"/>
            <w:vAlign w:val="center"/>
          </w:tcPr>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i w:val="0"/>
                <w:iCs w:val="0"/>
                <w:caps w:val="0"/>
                <w:color w:val="auto"/>
                <w:spacing w:val="0"/>
                <w:sz w:val="24"/>
                <w:szCs w:val="24"/>
                <w:shd w:val="clear" w:color="auto" w:fill="FFFFFF"/>
              </w:rPr>
              <w:t>具有独立思路、分析方法科学、分析内容全面，结论合理</w:t>
            </w:r>
          </w:p>
        </w:tc>
        <w:tc>
          <w:tcPr>
            <w:tcW w:w="1094"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21-30</w:t>
            </w:r>
          </w:p>
        </w:tc>
        <w:tc>
          <w:tcPr>
            <w:tcW w:w="856"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99" w:type="dxa"/>
            <w:vMerge w:val="continue"/>
            <w:noWrap w:val="0"/>
            <w:vAlign w:val="center"/>
          </w:tcPr>
          <w:p>
            <w:pPr>
              <w:jc w:val="center"/>
              <w:rPr>
                <w:rFonts w:hint="eastAsia" w:ascii="仿宋" w:hAnsi="仿宋" w:eastAsia="仿宋" w:cs="仿宋"/>
                <w:color w:val="auto"/>
                <w:sz w:val="24"/>
                <w:szCs w:val="24"/>
                <w:lang w:val="en-US" w:eastAsia="zh-CN"/>
              </w:rPr>
            </w:pPr>
          </w:p>
        </w:tc>
        <w:tc>
          <w:tcPr>
            <w:tcW w:w="2893" w:type="dxa"/>
            <w:gridSpan w:val="2"/>
            <w:vMerge w:val="continue"/>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p>
        </w:tc>
        <w:tc>
          <w:tcPr>
            <w:tcW w:w="3844" w:type="dxa"/>
            <w:noWrap w:val="0"/>
            <w:vAlign w:val="center"/>
          </w:tcPr>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分析思路不能体现其独立性、分析方法不科学、内容不够全面，存在缺漏项</w:t>
            </w:r>
          </w:p>
        </w:tc>
        <w:tc>
          <w:tcPr>
            <w:tcW w:w="1094"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11-20</w:t>
            </w:r>
          </w:p>
        </w:tc>
        <w:tc>
          <w:tcPr>
            <w:tcW w:w="856"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99" w:type="dxa"/>
            <w:vMerge w:val="continue"/>
            <w:noWrap w:val="0"/>
            <w:vAlign w:val="center"/>
          </w:tcPr>
          <w:p>
            <w:pPr>
              <w:jc w:val="center"/>
              <w:rPr>
                <w:rFonts w:hint="eastAsia" w:ascii="仿宋" w:hAnsi="仿宋" w:eastAsia="仿宋" w:cs="仿宋"/>
                <w:color w:val="auto"/>
                <w:sz w:val="24"/>
                <w:szCs w:val="24"/>
                <w:lang w:val="en-US" w:eastAsia="zh-CN"/>
              </w:rPr>
            </w:pPr>
          </w:p>
        </w:tc>
        <w:tc>
          <w:tcPr>
            <w:tcW w:w="2893" w:type="dxa"/>
            <w:gridSpan w:val="2"/>
            <w:vMerge w:val="continue"/>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p>
        </w:tc>
        <w:tc>
          <w:tcPr>
            <w:tcW w:w="3844" w:type="dxa"/>
            <w:noWrap w:val="0"/>
            <w:vAlign w:val="center"/>
          </w:tcPr>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无分析方法、出现前后矛盾、或结论缺乏依据</w:t>
            </w:r>
          </w:p>
        </w:tc>
        <w:tc>
          <w:tcPr>
            <w:tcW w:w="1094"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0-10</w:t>
            </w:r>
          </w:p>
        </w:tc>
        <w:tc>
          <w:tcPr>
            <w:tcW w:w="856"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99" w:type="dxa"/>
            <w:vMerge w:val="restart"/>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2893" w:type="dxa"/>
            <w:gridSpan w:val="2"/>
            <w:vMerge w:val="restart"/>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300"/>
              <w:jc w:val="center"/>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整体工作进度计划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300"/>
              <w:jc w:val="center"/>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（30分）</w:t>
            </w:r>
          </w:p>
        </w:tc>
        <w:tc>
          <w:tcPr>
            <w:tcW w:w="3844" w:type="dxa"/>
            <w:noWrap w:val="0"/>
            <w:vAlign w:val="center"/>
          </w:tcPr>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安排全面、合理、科学</w:t>
            </w:r>
          </w:p>
        </w:tc>
        <w:tc>
          <w:tcPr>
            <w:tcW w:w="1094"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21-30</w:t>
            </w:r>
          </w:p>
        </w:tc>
        <w:tc>
          <w:tcPr>
            <w:tcW w:w="856"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99" w:type="dxa"/>
            <w:vMerge w:val="continue"/>
            <w:noWrap w:val="0"/>
            <w:vAlign w:val="center"/>
          </w:tcPr>
          <w:p>
            <w:pPr>
              <w:jc w:val="center"/>
              <w:rPr>
                <w:rFonts w:hint="eastAsia" w:ascii="仿宋" w:hAnsi="仿宋" w:eastAsia="仿宋" w:cs="仿宋"/>
                <w:color w:val="auto"/>
                <w:sz w:val="24"/>
                <w:szCs w:val="24"/>
                <w:lang w:val="en-US" w:eastAsia="zh-CN"/>
              </w:rPr>
            </w:pPr>
          </w:p>
        </w:tc>
        <w:tc>
          <w:tcPr>
            <w:tcW w:w="2893" w:type="dxa"/>
            <w:gridSpan w:val="2"/>
            <w:vMerge w:val="continue"/>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p>
        </w:tc>
        <w:tc>
          <w:tcPr>
            <w:tcW w:w="3844" w:type="dxa"/>
            <w:noWrap w:val="0"/>
            <w:vAlign w:val="center"/>
          </w:tcPr>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存在缺漏项、安排不科学</w:t>
            </w:r>
          </w:p>
        </w:tc>
        <w:tc>
          <w:tcPr>
            <w:tcW w:w="1094"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11-20</w:t>
            </w:r>
          </w:p>
        </w:tc>
        <w:tc>
          <w:tcPr>
            <w:tcW w:w="856"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99" w:type="dxa"/>
            <w:vMerge w:val="continue"/>
            <w:noWrap w:val="0"/>
            <w:vAlign w:val="center"/>
          </w:tcPr>
          <w:p>
            <w:pPr>
              <w:jc w:val="center"/>
              <w:rPr>
                <w:rFonts w:hint="eastAsia" w:ascii="仿宋" w:hAnsi="仿宋" w:eastAsia="仿宋" w:cs="仿宋"/>
                <w:color w:val="auto"/>
                <w:sz w:val="24"/>
                <w:szCs w:val="24"/>
                <w:lang w:val="en-US" w:eastAsia="zh-CN"/>
              </w:rPr>
            </w:pPr>
          </w:p>
        </w:tc>
        <w:tc>
          <w:tcPr>
            <w:tcW w:w="2893" w:type="dxa"/>
            <w:gridSpan w:val="2"/>
            <w:vMerge w:val="continue"/>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p>
        </w:tc>
        <w:tc>
          <w:tcPr>
            <w:tcW w:w="3844" w:type="dxa"/>
            <w:noWrap w:val="0"/>
            <w:vAlign w:val="center"/>
          </w:tcPr>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存在明显不合理、不具备实践性</w:t>
            </w:r>
          </w:p>
        </w:tc>
        <w:tc>
          <w:tcPr>
            <w:tcW w:w="1094"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0-10</w:t>
            </w:r>
          </w:p>
        </w:tc>
        <w:tc>
          <w:tcPr>
            <w:tcW w:w="856"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99" w:type="dxa"/>
            <w:vMerge w:val="restart"/>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2893" w:type="dxa"/>
            <w:gridSpan w:val="2"/>
            <w:vMerge w:val="restart"/>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300"/>
              <w:jc w:val="center"/>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风险防控、质量保证及应急事项处理措施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300"/>
              <w:jc w:val="center"/>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（20分）</w:t>
            </w:r>
          </w:p>
        </w:tc>
        <w:tc>
          <w:tcPr>
            <w:tcW w:w="3844" w:type="dxa"/>
            <w:noWrap w:val="0"/>
            <w:vAlign w:val="center"/>
          </w:tcPr>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具备风险和质量管控制度，风险和质量管控措施、应急处理措施全面且有针对性、实践性</w:t>
            </w:r>
          </w:p>
        </w:tc>
        <w:tc>
          <w:tcPr>
            <w:tcW w:w="1094"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15-20</w:t>
            </w:r>
          </w:p>
        </w:tc>
        <w:tc>
          <w:tcPr>
            <w:tcW w:w="856"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599" w:type="dxa"/>
            <w:vMerge w:val="continue"/>
            <w:noWrap w:val="0"/>
            <w:vAlign w:val="center"/>
          </w:tcPr>
          <w:p>
            <w:pPr>
              <w:jc w:val="center"/>
              <w:rPr>
                <w:rFonts w:hint="eastAsia" w:ascii="仿宋" w:hAnsi="仿宋" w:eastAsia="仿宋" w:cs="仿宋"/>
                <w:color w:val="auto"/>
                <w:sz w:val="24"/>
                <w:szCs w:val="24"/>
                <w:lang w:val="en-US" w:eastAsia="zh-CN"/>
              </w:rPr>
            </w:pPr>
          </w:p>
        </w:tc>
        <w:tc>
          <w:tcPr>
            <w:tcW w:w="2893" w:type="dxa"/>
            <w:gridSpan w:val="2"/>
            <w:vMerge w:val="continue"/>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p>
        </w:tc>
        <w:tc>
          <w:tcPr>
            <w:tcW w:w="3844" w:type="dxa"/>
            <w:noWrap w:val="0"/>
            <w:vAlign w:val="center"/>
          </w:tcPr>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制度不全或无关联性，相关措施存在缺漏项，或与本项目针对性不强</w:t>
            </w:r>
          </w:p>
        </w:tc>
        <w:tc>
          <w:tcPr>
            <w:tcW w:w="1094"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6-15</w:t>
            </w:r>
          </w:p>
        </w:tc>
        <w:tc>
          <w:tcPr>
            <w:tcW w:w="856"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599" w:type="dxa"/>
            <w:vMerge w:val="continue"/>
            <w:noWrap w:val="0"/>
            <w:vAlign w:val="center"/>
          </w:tcPr>
          <w:p>
            <w:pPr>
              <w:jc w:val="center"/>
              <w:rPr>
                <w:rFonts w:hint="eastAsia" w:ascii="仿宋" w:hAnsi="仿宋" w:eastAsia="仿宋" w:cs="仿宋"/>
                <w:color w:val="auto"/>
                <w:sz w:val="24"/>
                <w:szCs w:val="24"/>
                <w:lang w:val="en-US" w:eastAsia="zh-CN"/>
              </w:rPr>
            </w:pPr>
          </w:p>
        </w:tc>
        <w:tc>
          <w:tcPr>
            <w:tcW w:w="2893" w:type="dxa"/>
            <w:gridSpan w:val="2"/>
            <w:vMerge w:val="continue"/>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p>
        </w:tc>
        <w:tc>
          <w:tcPr>
            <w:tcW w:w="3844" w:type="dxa"/>
            <w:noWrap w:val="0"/>
            <w:vAlign w:val="center"/>
          </w:tcPr>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无相关管控制度，或相关措施不具有针对性</w:t>
            </w:r>
          </w:p>
        </w:tc>
        <w:tc>
          <w:tcPr>
            <w:tcW w:w="1094"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0-5</w:t>
            </w:r>
          </w:p>
        </w:tc>
        <w:tc>
          <w:tcPr>
            <w:tcW w:w="856"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99" w:type="dxa"/>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2893" w:type="dxa"/>
            <w:gridSpan w:val="2"/>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合理化建议（20分）</w:t>
            </w:r>
          </w:p>
        </w:tc>
        <w:tc>
          <w:tcPr>
            <w:tcW w:w="3844" w:type="dxa"/>
            <w:noWrap w:val="0"/>
            <w:vAlign w:val="center"/>
          </w:tcPr>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针对项目情况提出建议，合理且被选取人采纳的，每条计5分。</w:t>
            </w:r>
          </w:p>
        </w:tc>
        <w:tc>
          <w:tcPr>
            <w:tcW w:w="1094"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0-20</w:t>
            </w:r>
          </w:p>
        </w:tc>
        <w:tc>
          <w:tcPr>
            <w:tcW w:w="856"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99"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i w:val="0"/>
                <w:iCs w:val="0"/>
                <w:caps w:val="0"/>
                <w:color w:val="auto"/>
                <w:spacing w:val="0"/>
                <w:sz w:val="24"/>
                <w:szCs w:val="24"/>
                <w:shd w:val="clear" w:color="auto" w:fill="FFFFFF"/>
                <w:lang w:eastAsia="zh-CN"/>
              </w:rPr>
            </w:pPr>
            <w:r>
              <w:rPr>
                <w:rFonts w:hint="eastAsia" w:ascii="仿宋" w:hAnsi="仿宋" w:eastAsia="仿宋" w:cs="仿宋"/>
                <w:i w:val="0"/>
                <w:iCs w:val="0"/>
                <w:caps w:val="0"/>
                <w:color w:val="auto"/>
                <w:spacing w:val="0"/>
                <w:sz w:val="24"/>
                <w:szCs w:val="24"/>
                <w:shd w:val="clear" w:color="auto" w:fill="FFFFFF"/>
                <w:lang w:val="en-US" w:eastAsia="zh-CN"/>
              </w:rPr>
              <w:t>5</w:t>
            </w:r>
          </w:p>
        </w:tc>
        <w:tc>
          <w:tcPr>
            <w:tcW w:w="7831" w:type="dxa"/>
            <w:gridSpan w:val="4"/>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i w:val="0"/>
                <w:iCs w:val="0"/>
                <w:caps w:val="0"/>
                <w:color w:val="auto"/>
                <w:spacing w:val="0"/>
                <w:sz w:val="24"/>
                <w:szCs w:val="24"/>
                <w:shd w:val="clear" w:color="auto" w:fill="FFFFFF"/>
              </w:rPr>
            </w:pPr>
            <w:r>
              <w:rPr>
                <w:rFonts w:hint="eastAsia" w:ascii="仿宋" w:hAnsi="仿宋" w:eastAsia="仿宋" w:cs="仿宋"/>
                <w:i w:val="0"/>
                <w:iCs w:val="0"/>
                <w:caps w:val="0"/>
                <w:color w:val="auto"/>
                <w:spacing w:val="0"/>
                <w:sz w:val="24"/>
                <w:szCs w:val="24"/>
                <w:shd w:val="clear" w:color="auto" w:fill="FFFFFF"/>
              </w:rPr>
              <w:t>合   计</w:t>
            </w:r>
          </w:p>
        </w:tc>
        <w:tc>
          <w:tcPr>
            <w:tcW w:w="856" w:type="dxa"/>
            <w:noWrap w:val="0"/>
            <w:vAlign w:val="top"/>
          </w:tcPr>
          <w:p>
            <w:pPr>
              <w:rPr>
                <w:rFonts w:hint="eastAsia" w:ascii="仿宋" w:hAnsi="仿宋" w:eastAsia="仿宋" w:cs="仿宋"/>
                <w:color w:val="auto"/>
                <w:sz w:val="24"/>
                <w:szCs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80" w:lineRule="atLeast"/>
        <w:ind w:left="0" w:right="0" w:firstLine="300"/>
        <w:jc w:val="left"/>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rPr>
        <w:t>注：</w:t>
      </w:r>
      <w:r>
        <w:rPr>
          <w:rFonts w:hint="eastAsia" w:ascii="仿宋" w:hAnsi="仿宋" w:eastAsia="仿宋" w:cs="仿宋"/>
          <w:i w:val="0"/>
          <w:iCs w:val="0"/>
          <w:caps w:val="0"/>
          <w:color w:val="auto"/>
          <w:spacing w:val="0"/>
          <w:sz w:val="24"/>
          <w:szCs w:val="24"/>
          <w:shd w:val="clear" w:color="auto" w:fill="FFFFFF"/>
          <w:lang w:val="en-US" w:eastAsia="zh-CN"/>
        </w:rPr>
        <w:t>招标代理方案得分为各评委打分的算术平均值。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420" w:right="0" w:hanging="420"/>
        <w:jc w:val="left"/>
        <w:rPr>
          <w:rFonts w:hint="eastAsia" w:ascii="仿宋" w:hAnsi="仿宋" w:eastAsia="仿宋" w:cs="仿宋"/>
          <w:i w:val="0"/>
          <w:iCs w:val="0"/>
          <w:caps w:val="0"/>
          <w:color w:val="auto"/>
          <w:spacing w:val="0"/>
          <w:sz w:val="24"/>
          <w:szCs w:val="24"/>
          <w:shd w:val="clear" w:color="auto" w:fill="FFFFFF"/>
        </w:rPr>
      </w:pPr>
    </w:p>
    <w:p>
      <w:pPr>
        <w:spacing w:line="360" w:lineRule="auto"/>
        <w:ind w:left="360"/>
        <w:jc w:val="both"/>
        <w:textAlignment w:val="top"/>
        <w:rPr>
          <w:rFonts w:hint="eastAsia" w:ascii="仿宋" w:hAnsi="仿宋" w:eastAsia="仿宋" w:cs="仿宋"/>
          <w:b/>
          <w:bCs/>
          <w:color w:val="auto"/>
          <w:sz w:val="28"/>
          <w:szCs w:val="28"/>
        </w:rPr>
      </w:pPr>
      <w:r>
        <w:rPr>
          <w:rFonts w:hint="eastAsia" w:ascii="仿宋" w:hAnsi="仿宋" w:eastAsia="仿宋" w:cs="仿宋"/>
          <w:b/>
          <w:bCs/>
          <w:color w:val="auto"/>
          <w:sz w:val="28"/>
          <w:szCs w:val="28"/>
        </w:rPr>
        <w:br w:type="page"/>
      </w:r>
      <w:r>
        <w:rPr>
          <w:rFonts w:hint="eastAsia" w:ascii="仿宋" w:hAnsi="仿宋" w:eastAsia="仿宋" w:cs="仿宋"/>
          <w:b/>
          <w:bCs/>
          <w:color w:val="auto"/>
          <w:sz w:val="28"/>
          <w:szCs w:val="28"/>
        </w:rPr>
        <w:t>附表</w:t>
      </w:r>
      <w:r>
        <w:rPr>
          <w:rFonts w:hint="eastAsia" w:ascii="仿宋" w:hAnsi="仿宋" w:eastAsia="仿宋" w:cs="仿宋"/>
          <w:b/>
          <w:bCs/>
          <w:color w:val="auto"/>
          <w:sz w:val="28"/>
          <w:szCs w:val="28"/>
          <w:lang w:val="en-US" w:eastAsia="zh-CN"/>
        </w:rPr>
        <w:t>1-2</w:t>
      </w:r>
      <w:r>
        <w:rPr>
          <w:rFonts w:hint="eastAsia" w:ascii="仿宋" w:hAnsi="仿宋" w:eastAsia="仿宋" w:cs="仿宋"/>
          <w:b/>
          <w:bCs/>
          <w:color w:val="auto"/>
          <w:sz w:val="28"/>
          <w:szCs w:val="28"/>
        </w:rPr>
        <w:t xml:space="preserve">                    </w:t>
      </w:r>
    </w:p>
    <w:p>
      <w:pPr>
        <w:jc w:val="center"/>
        <w:rPr>
          <w:rFonts w:hint="eastAsia" w:ascii="仿宋" w:hAnsi="仿宋" w:eastAsia="仿宋" w:cs="仿宋"/>
          <w:b/>
          <w:color w:val="auto"/>
          <w:sz w:val="28"/>
          <w:szCs w:val="28"/>
          <w:highlight w:val="yellow"/>
          <w:lang w:eastAsia="zh-CN"/>
        </w:rPr>
      </w:pPr>
      <w:r>
        <w:rPr>
          <w:rFonts w:hint="eastAsia" w:ascii="仿宋" w:hAnsi="仿宋" w:eastAsia="仿宋" w:cs="仿宋"/>
          <w:b/>
          <w:color w:val="auto"/>
          <w:sz w:val="28"/>
          <w:szCs w:val="28"/>
          <w:highlight w:val="none"/>
          <w:lang w:eastAsia="zh-CN"/>
        </w:rPr>
        <w:t>竞选</w:t>
      </w:r>
      <w:r>
        <w:rPr>
          <w:rFonts w:hint="eastAsia" w:ascii="仿宋" w:hAnsi="仿宋" w:eastAsia="仿宋" w:cs="仿宋"/>
          <w:b/>
          <w:color w:val="auto"/>
          <w:sz w:val="28"/>
          <w:szCs w:val="28"/>
          <w:highlight w:val="none"/>
        </w:rPr>
        <w:t>报价评分表</w:t>
      </w:r>
      <w:r>
        <w:rPr>
          <w:rFonts w:hint="eastAsia" w:ascii="仿宋" w:hAnsi="仿宋" w:eastAsia="仿宋" w:cs="仿宋"/>
          <w:b/>
          <w:color w:val="auto"/>
          <w:sz w:val="28"/>
          <w:szCs w:val="28"/>
          <w:highlight w:val="none"/>
          <w:lang w:eastAsia="zh-CN"/>
        </w:rPr>
        <w:t>（</w:t>
      </w:r>
      <w:r>
        <w:rPr>
          <w:rFonts w:hint="eastAsia" w:ascii="仿宋" w:hAnsi="仿宋" w:eastAsia="仿宋" w:cs="仿宋"/>
          <w:b/>
          <w:color w:val="auto"/>
          <w:sz w:val="28"/>
          <w:szCs w:val="28"/>
          <w:highlight w:val="none"/>
          <w:lang w:val="en-US" w:eastAsia="zh-CN"/>
        </w:rPr>
        <w:t>100分</w:t>
      </w:r>
      <w:r>
        <w:rPr>
          <w:rFonts w:hint="eastAsia" w:ascii="仿宋" w:hAnsi="仿宋" w:eastAsia="仿宋" w:cs="仿宋"/>
          <w:b/>
          <w:color w:val="auto"/>
          <w:sz w:val="28"/>
          <w:szCs w:val="28"/>
          <w:highlight w:val="none"/>
          <w:lang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686"/>
        <w:gridCol w:w="198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75"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序号</w:t>
            </w:r>
          </w:p>
        </w:tc>
        <w:tc>
          <w:tcPr>
            <w:tcW w:w="3686"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项       目</w:t>
            </w:r>
          </w:p>
        </w:tc>
        <w:tc>
          <w:tcPr>
            <w:tcW w:w="1984"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评分标准</w:t>
            </w:r>
          </w:p>
        </w:tc>
        <w:tc>
          <w:tcPr>
            <w:tcW w:w="3402" w:type="dxa"/>
            <w:noWrap w:val="0"/>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675" w:type="dxa"/>
            <w:noWrap w:val="0"/>
            <w:vAlign w:val="center"/>
          </w:tcPr>
          <w:p>
            <w:pPr>
              <w:jc w:val="center"/>
              <w:rPr>
                <w:rFonts w:hint="eastAsia" w:ascii="仿宋" w:hAnsi="仿宋" w:eastAsia="仿宋" w:cs="仿宋"/>
                <w:color w:val="auto"/>
                <w:szCs w:val="20"/>
                <w:highlight w:val="none"/>
              </w:rPr>
            </w:pPr>
          </w:p>
          <w:p>
            <w:pPr>
              <w:jc w:val="center"/>
              <w:rPr>
                <w:rFonts w:hint="eastAsia" w:ascii="仿宋" w:hAnsi="仿宋" w:eastAsia="仿宋" w:cs="仿宋"/>
                <w:color w:val="auto"/>
                <w:szCs w:val="20"/>
                <w:highlight w:val="none"/>
              </w:rPr>
            </w:pPr>
            <w:r>
              <w:rPr>
                <w:rFonts w:hint="eastAsia" w:ascii="仿宋" w:hAnsi="仿宋" w:eastAsia="仿宋" w:cs="仿宋"/>
                <w:color w:val="auto"/>
                <w:szCs w:val="20"/>
                <w:highlight w:val="none"/>
              </w:rPr>
              <w:t>1</w:t>
            </w:r>
          </w:p>
        </w:tc>
        <w:tc>
          <w:tcPr>
            <w:tcW w:w="3686" w:type="dxa"/>
            <w:noWrap w:val="0"/>
            <w:vAlign w:val="center"/>
          </w:tcPr>
          <w:p>
            <w:pPr>
              <w:rPr>
                <w:rFonts w:hint="eastAsia" w:ascii="仿宋" w:hAnsi="仿宋" w:eastAsia="仿宋" w:cs="仿宋"/>
                <w:color w:val="auto"/>
              </w:rPr>
            </w:pPr>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r>
              <w:rPr>
                <w:rFonts w:hint="eastAsia" w:ascii="仿宋" w:hAnsi="仿宋" w:eastAsia="仿宋" w:cs="仿宋"/>
                <w:color w:val="auto"/>
                <w:lang w:eastAsia="zh-CN"/>
              </w:rPr>
              <w:t>竞选报</w:t>
            </w:r>
            <w:r>
              <w:rPr>
                <w:rFonts w:hint="eastAsia" w:ascii="仿宋" w:hAnsi="仿宋" w:eastAsia="仿宋" w:cs="仿宋"/>
                <w:color w:val="auto"/>
              </w:rPr>
              <w:t>价—基准价</w:t>
            </w:r>
          </w:p>
          <w:p>
            <w:pPr>
              <w:ind w:firstLine="210" w:firstLineChars="100"/>
              <w:rPr>
                <w:rFonts w:hint="eastAsia" w:ascii="仿宋" w:hAnsi="仿宋" w:eastAsia="仿宋" w:cs="仿宋"/>
                <w:color w:val="auto"/>
              </w:rPr>
            </w:pPr>
            <w:r>
              <w:rPr>
                <w:rFonts w:hint="eastAsia" w:ascii="仿宋" w:hAnsi="仿宋" w:eastAsia="仿宋" w:cs="仿宋"/>
                <w:color w:val="auto"/>
              </w:rPr>
              <w:t>0&lt;                      ×100%</w:t>
            </w:r>
          </w:p>
          <w:p>
            <w:pPr>
              <w:ind w:firstLine="210" w:firstLineChars="100"/>
              <w:jc w:val="center"/>
              <w:rPr>
                <w:rFonts w:hint="eastAsia" w:ascii="仿宋" w:hAnsi="仿宋" w:eastAsia="仿宋" w:cs="仿宋"/>
                <w:color w:val="auto"/>
                <w:kern w:val="2"/>
                <w:sz w:val="21"/>
                <w:szCs w:val="20"/>
                <w:lang w:val="en-US" w:eastAsia="zh-CN" w:bidi="ar-SA"/>
              </w:rPr>
            </w:pPr>
            <w:r>
              <w:rPr>
                <w:rFonts w:hint="eastAsia" w:ascii="仿宋" w:hAnsi="仿宋" w:eastAsia="仿宋" w:cs="仿宋"/>
                <w:color w:val="auto"/>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-113030</wp:posOffset>
                      </wp:positionV>
                      <wp:extent cx="1368425" cy="8890"/>
                      <wp:effectExtent l="0" t="0" r="0" b="0"/>
                      <wp:wrapNone/>
                      <wp:docPr id="1" name="直接连接符 1"/>
                      <wp:cNvGraphicFramePr/>
                      <a:graphic xmlns:a="http://schemas.openxmlformats.org/drawingml/2006/main">
                        <a:graphicData uri="http://schemas.microsoft.com/office/word/2010/wordprocessingShape">
                          <wps:wsp>
                            <wps:cNvSpPr/>
                            <wps:spPr>
                              <a:xfrm>
                                <a:off x="0" y="0"/>
                                <a:ext cx="136842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85pt;margin-top:-8.9pt;height:0.7pt;width:107.75pt;z-index:251659264;mso-width-relative:page;mso-height-relative:page;" filled="f" stroked="t" coordsize="21600,21600" o:gfxdata="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P6q1rXAAAACgEAAA8AAAAAAAAAAQAgAAAAIgAAAGRycy9kb3ducmV2LnhtbFBL&#10;AQIUABQAAAAIAIdO4kAdn7L69wEAAOcDAAAOAAAAAAAAAAEAIAAAACY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color w:val="auto"/>
              </w:rPr>
              <w:t xml:space="preserve">  基准价</w:t>
            </w:r>
          </w:p>
        </w:tc>
        <w:tc>
          <w:tcPr>
            <w:tcW w:w="1984" w:type="dxa"/>
            <w:noWrap w:val="0"/>
            <w:vAlign w:val="center"/>
          </w:tcPr>
          <w:p>
            <w:pPr>
              <w:jc w:val="left"/>
              <w:rPr>
                <w:rFonts w:hint="eastAsia" w:ascii="仿宋" w:hAnsi="仿宋" w:eastAsia="仿宋" w:cs="仿宋"/>
                <w:color w:val="auto"/>
                <w:szCs w:val="20"/>
                <w:highlight w:val="none"/>
              </w:rPr>
            </w:pPr>
            <w:r>
              <w:rPr>
                <w:rFonts w:hint="eastAsia" w:ascii="仿宋" w:hAnsi="仿宋" w:eastAsia="仿宋" w:cs="仿宋"/>
                <w:color w:val="auto"/>
                <w:szCs w:val="20"/>
                <w:highlight w:val="none"/>
              </w:rPr>
              <w:t>从0开始每升</w:t>
            </w:r>
            <w:r>
              <w:rPr>
                <w:rFonts w:hint="eastAsia" w:ascii="仿宋" w:hAnsi="仿宋" w:eastAsia="仿宋" w:cs="仿宋"/>
                <w:color w:val="auto"/>
                <w:szCs w:val="20"/>
                <w:highlight w:val="none"/>
                <w:lang w:val="en-US" w:eastAsia="zh-CN"/>
              </w:rPr>
              <w:t>1</w:t>
            </w:r>
            <w:r>
              <w:rPr>
                <w:rFonts w:hint="eastAsia" w:ascii="仿宋" w:hAnsi="仿宋" w:eastAsia="仿宋" w:cs="仿宋"/>
                <w:color w:val="auto"/>
                <w:szCs w:val="20"/>
                <w:highlight w:val="none"/>
              </w:rPr>
              <w:t>%减</w:t>
            </w:r>
            <w:r>
              <w:rPr>
                <w:rFonts w:hint="eastAsia" w:ascii="仿宋" w:hAnsi="仿宋" w:eastAsia="仿宋" w:cs="仿宋"/>
                <w:color w:val="auto"/>
                <w:szCs w:val="20"/>
                <w:highlight w:val="none"/>
                <w:lang w:val="en-US" w:eastAsia="zh-CN"/>
              </w:rPr>
              <w:t>0.5</w:t>
            </w:r>
            <w:r>
              <w:rPr>
                <w:rFonts w:hint="eastAsia" w:ascii="仿宋" w:hAnsi="仿宋" w:eastAsia="仿宋" w:cs="仿宋"/>
                <w:color w:val="auto"/>
                <w:szCs w:val="20"/>
                <w:highlight w:val="none"/>
              </w:rPr>
              <w:t>分，即100-</w:t>
            </w:r>
            <w:r>
              <w:rPr>
                <w:rFonts w:hint="eastAsia" w:ascii="仿宋" w:hAnsi="仿宋" w:eastAsia="仿宋" w:cs="仿宋"/>
                <w:color w:val="auto"/>
                <w:szCs w:val="20"/>
                <w:highlight w:val="none"/>
                <w:lang w:val="en-US" w:eastAsia="zh-CN"/>
              </w:rPr>
              <w:t>0.5</w:t>
            </w:r>
            <w:r>
              <w:rPr>
                <w:rFonts w:hint="eastAsia" w:ascii="仿宋" w:hAnsi="仿宋" w:eastAsia="仿宋" w:cs="仿宋"/>
                <w:color w:val="auto"/>
                <w:szCs w:val="20"/>
                <w:highlight w:val="none"/>
              </w:rPr>
              <w:t>*100X</w:t>
            </w:r>
          </w:p>
        </w:tc>
        <w:tc>
          <w:tcPr>
            <w:tcW w:w="3402" w:type="dxa"/>
            <w:vMerge w:val="restart"/>
            <w:noWrap w:val="0"/>
            <w:vAlign w:val="center"/>
          </w:tcPr>
          <w:p>
            <w:pPr>
              <w:numPr>
                <w:ilvl w:val="0"/>
                <w:numId w:val="0"/>
              </w:numPr>
              <w:tabs>
                <w:tab w:val="left" w:pos="0"/>
              </w:tabs>
              <w:ind w:leftChars="0"/>
              <w:rPr>
                <w:rFonts w:hint="eastAsia" w:ascii="仿宋" w:hAnsi="仿宋" w:eastAsia="仿宋" w:cs="仿宋"/>
                <w:color w:val="auto"/>
                <w:szCs w:val="20"/>
                <w:highlight w:val="none"/>
              </w:rPr>
            </w:pPr>
          </w:p>
          <w:p>
            <w:pPr>
              <w:numPr>
                <w:ilvl w:val="0"/>
                <w:numId w:val="1"/>
              </w:numPr>
              <w:tabs>
                <w:tab w:val="left" w:pos="0"/>
                <w:tab w:val="clear" w:pos="360"/>
              </w:tabs>
              <w:rPr>
                <w:rFonts w:hint="eastAsia" w:ascii="仿宋" w:hAnsi="仿宋" w:eastAsia="仿宋" w:cs="仿宋"/>
                <w:color w:val="auto"/>
                <w:szCs w:val="20"/>
                <w:highlight w:val="none"/>
              </w:rPr>
            </w:pPr>
            <w:r>
              <w:rPr>
                <w:rFonts w:hint="eastAsia" w:ascii="仿宋" w:hAnsi="仿宋" w:eastAsia="仿宋" w:cs="仿宋"/>
                <w:color w:val="auto"/>
                <w:szCs w:val="20"/>
                <w:highlight w:val="none"/>
                <w:lang w:eastAsia="zh-CN"/>
              </w:rPr>
              <w:t>竞选</w:t>
            </w:r>
            <w:r>
              <w:rPr>
                <w:rFonts w:hint="eastAsia" w:ascii="仿宋" w:hAnsi="仿宋" w:eastAsia="仿宋" w:cs="仿宋"/>
                <w:color w:val="auto"/>
                <w:szCs w:val="20"/>
                <w:highlight w:val="none"/>
              </w:rPr>
              <w:t>报价得分最低分为0分；</w:t>
            </w:r>
          </w:p>
          <w:p>
            <w:pPr>
              <w:numPr>
                <w:ilvl w:val="0"/>
                <w:numId w:val="0"/>
              </w:numPr>
              <w:tabs>
                <w:tab w:val="left" w:pos="0"/>
              </w:tabs>
              <w:ind w:leftChars="0"/>
              <w:jc w:val="both"/>
              <w:rPr>
                <w:rFonts w:hint="eastAsia" w:ascii="仿宋" w:hAnsi="仿宋" w:eastAsia="仿宋" w:cs="仿宋"/>
                <w:color w:val="auto"/>
              </w:rPr>
            </w:pPr>
            <w:r>
              <w:rPr>
                <w:rFonts w:hint="eastAsia" w:ascii="仿宋" w:hAnsi="仿宋" w:eastAsia="仿宋" w:cs="仿宋"/>
                <w:color w:val="auto"/>
                <w:szCs w:val="20"/>
                <w:highlight w:val="none"/>
                <w:lang w:val="en-US" w:eastAsia="zh-CN"/>
              </w:rPr>
              <w:t>2、</w:t>
            </w:r>
            <w:r>
              <w:rPr>
                <w:rFonts w:hint="eastAsia" w:ascii="仿宋" w:hAnsi="仿宋" w:eastAsia="仿宋" w:cs="仿宋"/>
                <w:color w:val="auto"/>
                <w:szCs w:val="20"/>
                <w:highlight w:val="none"/>
              </w:rPr>
              <w:t>X为最终</w:t>
            </w:r>
            <w:r>
              <w:rPr>
                <w:rFonts w:hint="eastAsia" w:ascii="仿宋" w:hAnsi="仿宋" w:eastAsia="仿宋" w:cs="仿宋"/>
                <w:color w:val="auto"/>
                <w:szCs w:val="20"/>
                <w:highlight w:val="none"/>
                <w:lang w:eastAsia="zh-CN"/>
              </w:rPr>
              <w:t>竞选</w:t>
            </w:r>
            <w:r>
              <w:rPr>
                <w:rFonts w:hint="eastAsia" w:ascii="仿宋" w:hAnsi="仿宋" w:eastAsia="仿宋" w:cs="仿宋"/>
                <w:color w:val="auto"/>
                <w:szCs w:val="20"/>
                <w:highlight w:val="none"/>
              </w:rPr>
              <w:t>价升、降率百分点数的绝对值，即</w:t>
            </w:r>
          </w:p>
          <w:p>
            <w:pPr>
              <w:numPr>
                <w:ilvl w:val="0"/>
                <w:numId w:val="0"/>
              </w:numPr>
              <w:tabs>
                <w:tab w:val="left" w:pos="0"/>
              </w:tabs>
              <w:ind w:leftChars="0" w:firstLine="210" w:firstLineChars="100"/>
              <w:jc w:val="both"/>
              <w:rPr>
                <w:rFonts w:hint="eastAsia" w:ascii="仿宋" w:hAnsi="仿宋" w:eastAsia="仿宋" w:cs="仿宋"/>
                <w:color w:val="auto"/>
                <w:szCs w:val="20"/>
                <w:highlight w:val="none"/>
              </w:rPr>
            </w:pPr>
            <w:r>
              <w:rPr>
                <w:rFonts w:hint="eastAsia" w:ascii="仿宋" w:hAnsi="仿宋" w:eastAsia="仿宋" w:cs="仿宋"/>
                <w:color w:val="auto"/>
                <w:szCs w:val="20"/>
                <w:highlight w:val="none"/>
              </w:rPr>
              <mc:AlternateContent>
                <mc:Choice Requires="wps">
                  <w:drawing>
                    <wp:anchor distT="0" distB="0" distL="114300" distR="114300" simplePos="0" relativeHeight="251662336" behindDoc="0" locked="0" layoutInCell="1" allowOverlap="1">
                      <wp:simplePos x="0" y="0"/>
                      <wp:positionH relativeFrom="column">
                        <wp:posOffset>1222375</wp:posOffset>
                      </wp:positionH>
                      <wp:positionV relativeFrom="paragraph">
                        <wp:posOffset>75565</wp:posOffset>
                      </wp:positionV>
                      <wp:extent cx="0" cy="539750"/>
                      <wp:effectExtent l="4445" t="0" r="14605" b="12700"/>
                      <wp:wrapNone/>
                      <wp:docPr id="2" name="直接连接符 2"/>
                      <wp:cNvGraphicFramePr/>
                      <a:graphic xmlns:a="http://schemas.openxmlformats.org/drawingml/2006/main">
                        <a:graphicData uri="http://schemas.microsoft.com/office/word/2010/wordprocessingShape">
                          <wps:wsp>
                            <wps:cNvSpPr/>
                            <wps:spPr>
                              <a:xfrm flipH="1" flipV="1">
                                <a:off x="0" y="0"/>
                                <a:ext cx="0" cy="5397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96.25pt;margin-top:5.95pt;height:42.5pt;width:0pt;z-index:251662336;mso-width-relative:page;mso-height-relative:page;" filled="f" stroked="t" coordsize="21600,21600" o:gfxdata="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k97rX0wAAAAkBAAAPAAAAAAAAAAEAIAAAACIAAABkcnMvZG93bnJldi54&#10;bWxQSwECFAAUAAAACACHTuJA79g6vP8BAAD3AwAADgAAAAAAAAABACAAAAAiAQAAZHJzL2Uyb0Rv&#10;Yy54bWxQSwUGAAAAAAYABgBZAQAAkwUAAAAA&#10;">
                      <v:fill on="f" focussize="0,0"/>
                      <v:stroke color="#000000" joinstyle="round"/>
                      <v:imagedata o:title=""/>
                      <o:lock v:ext="edit" aspectratio="f"/>
                    </v:line>
                  </w:pict>
                </mc:Fallback>
              </mc:AlternateContent>
            </w:r>
            <w:r>
              <w:rPr>
                <w:rFonts w:hint="eastAsia" w:ascii="仿宋" w:hAnsi="仿宋" w:eastAsia="仿宋" w:cs="仿宋"/>
                <w:color w:val="auto"/>
                <w:szCs w:val="20"/>
                <w:highlight w:val="none"/>
              </w:rPr>
              <mc:AlternateContent>
                <mc:Choice Requires="wps">
                  <w:drawing>
                    <wp:anchor distT="0" distB="0" distL="114300" distR="114300" simplePos="0" relativeHeight="251663360" behindDoc="0" locked="0" layoutInCell="1" allowOverlap="1">
                      <wp:simplePos x="0" y="0"/>
                      <wp:positionH relativeFrom="column">
                        <wp:posOffset>92710</wp:posOffset>
                      </wp:positionH>
                      <wp:positionV relativeFrom="paragraph">
                        <wp:posOffset>100330</wp:posOffset>
                      </wp:positionV>
                      <wp:extent cx="3175" cy="510540"/>
                      <wp:effectExtent l="4445" t="0" r="11430" b="3810"/>
                      <wp:wrapNone/>
                      <wp:docPr id="3" name="直接连接符 3"/>
                      <wp:cNvGraphicFramePr/>
                      <a:graphic xmlns:a="http://schemas.openxmlformats.org/drawingml/2006/main">
                        <a:graphicData uri="http://schemas.microsoft.com/office/word/2010/wordprocessingShape">
                          <wps:wsp>
                            <wps:cNvSpPr/>
                            <wps:spPr>
                              <a:xfrm>
                                <a:off x="0" y="0"/>
                                <a:ext cx="3175" cy="510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3pt;margin-top:7.9pt;height:40.2pt;width:0.25pt;z-index:251663360;mso-width-relative:page;mso-height-relative:page;" filled="f" stroked="t" coordsize="21600,21600" o:gfxdata="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a+Rm1QAAAAcBAAAPAAAAAAAAAAEAIAAAACIAAABkcnMvZG93bnJldi54bWxQSwEC&#10;FAAUAAAACACHTuJAEKR2MfcBAADmAwAADgAAAAAAAAABACAAAAAkAQAAZHJzL2Uyb0RvYy54bWxQ&#10;SwUGAAAAAAYABgBZAQAAjQUAAAAA&#10;">
                      <v:fill on="f" focussize="0,0"/>
                      <v:stroke color="#000000" joinstyle="round"/>
                      <v:imagedata o:title=""/>
                      <o:lock v:ext="edit" aspectratio="f"/>
                    </v:line>
                  </w:pict>
                </mc:Fallback>
              </mc:AlternateContent>
            </w:r>
            <w:r>
              <w:rPr>
                <w:rFonts w:hint="eastAsia" w:ascii="仿宋" w:hAnsi="仿宋" w:eastAsia="仿宋" w:cs="仿宋"/>
                <w:color w:val="auto"/>
                <w:szCs w:val="20"/>
                <w:highlight w:val="none"/>
                <w:lang w:eastAsia="zh-CN"/>
              </w:rPr>
              <w:t>竞选报</w:t>
            </w:r>
            <w:r>
              <w:rPr>
                <w:rFonts w:hint="eastAsia" w:ascii="仿宋" w:hAnsi="仿宋" w:eastAsia="仿宋" w:cs="仿宋"/>
                <w:color w:val="auto"/>
                <w:szCs w:val="20"/>
                <w:highlight w:val="none"/>
              </w:rPr>
              <w:t>价—基准价</w:t>
            </w:r>
          </w:p>
          <w:p>
            <w:pPr>
              <w:numPr>
                <w:ilvl w:val="0"/>
                <w:numId w:val="0"/>
              </w:numPr>
              <w:tabs>
                <w:tab w:val="left" w:pos="0"/>
              </w:tabs>
              <w:ind w:leftChars="0"/>
              <w:jc w:val="both"/>
              <w:rPr>
                <w:rFonts w:hint="eastAsia" w:ascii="仿宋" w:hAnsi="仿宋" w:eastAsia="仿宋" w:cs="仿宋"/>
                <w:color w:val="auto"/>
                <w:szCs w:val="20"/>
                <w:highlight w:val="none"/>
              </w:rPr>
            </w:pPr>
            <w:r>
              <w:rPr>
                <w:rFonts w:hint="eastAsia" w:ascii="仿宋" w:hAnsi="仿宋" w:eastAsia="仿宋" w:cs="仿宋"/>
                <w:color w:val="auto"/>
                <w:szCs w:val="20"/>
                <w:highlight w:val="none"/>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73660</wp:posOffset>
                      </wp:positionV>
                      <wp:extent cx="1080135" cy="0"/>
                      <wp:effectExtent l="0" t="4445" r="0" b="5080"/>
                      <wp:wrapNone/>
                      <wp:docPr id="5" name="直接连接符 5"/>
                      <wp:cNvGraphicFramePr/>
                      <a:graphic xmlns:a="http://schemas.openxmlformats.org/drawingml/2006/main">
                        <a:graphicData uri="http://schemas.microsoft.com/office/word/2010/wordprocessingShape">
                          <wps:wsp>
                            <wps:cNvSpPr/>
                            <wps:spPr>
                              <a:xfrm flipV="1">
                                <a:off x="0" y="0"/>
                                <a:ext cx="10801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4pt;margin-top:5.8pt;height:0pt;width:85.05pt;z-index:251661312;mso-width-relative:page;mso-height-relative:page;" filled="f" stroked="t" coordsize="21600,21600" o:gfxdata="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QWGCXUAAAACAEAAA8AAAAAAAAAAQAgAAAAIgAAAGRycy9kb3ducmV2LnhtbFBL&#10;AQIUABQAAAAIAIdO4kBlZ5S1+gEAAO4DAAAOAAAAAAAAAAEAIAAAACM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color w:val="auto"/>
                <w:szCs w:val="20"/>
                <w:highlight w:val="none"/>
              </w:rPr>
              <w:t xml:space="preserve">                  </w:t>
            </w:r>
            <w:r>
              <w:rPr>
                <w:rFonts w:hint="eastAsia" w:ascii="仿宋" w:hAnsi="仿宋" w:eastAsia="仿宋" w:cs="仿宋"/>
                <w:color w:val="auto"/>
                <w:szCs w:val="20"/>
                <w:highlight w:val="none"/>
                <w:lang w:val="en-US" w:eastAsia="zh-CN"/>
              </w:rPr>
              <w:t xml:space="preserve"> </w:t>
            </w:r>
            <w:r>
              <w:rPr>
                <w:rFonts w:hint="eastAsia" w:ascii="仿宋" w:hAnsi="仿宋" w:eastAsia="仿宋" w:cs="仿宋"/>
                <w:color w:val="auto"/>
                <w:szCs w:val="20"/>
                <w:highlight w:val="none"/>
              </w:rPr>
              <w:t>×100%</w:t>
            </w:r>
          </w:p>
          <w:p>
            <w:pPr>
              <w:rPr>
                <w:rFonts w:hint="eastAsia" w:ascii="仿宋" w:hAnsi="仿宋" w:eastAsia="仿宋" w:cs="仿宋"/>
                <w:color w:val="auto"/>
                <w:szCs w:val="20"/>
                <w:highlight w:val="none"/>
              </w:rPr>
            </w:pPr>
            <w:r>
              <w:rPr>
                <w:rFonts w:hint="eastAsia" w:ascii="仿宋" w:hAnsi="仿宋" w:eastAsia="仿宋" w:cs="仿宋"/>
                <w:color w:val="auto"/>
                <w:szCs w:val="20"/>
                <w:highlight w:val="none"/>
              </w:rPr>
              <w:t xml:space="preserve">   </w:t>
            </w:r>
            <w:r>
              <w:rPr>
                <w:rFonts w:hint="eastAsia" w:ascii="仿宋" w:hAnsi="仿宋" w:eastAsia="仿宋" w:cs="仿宋"/>
                <w:color w:val="auto"/>
                <w:szCs w:val="20"/>
                <w:highlight w:val="none"/>
                <w:lang w:val="en-US" w:eastAsia="zh-CN"/>
              </w:rPr>
              <w:t xml:space="preserve">    </w:t>
            </w:r>
            <w:r>
              <w:rPr>
                <w:rFonts w:hint="eastAsia" w:ascii="仿宋" w:hAnsi="仿宋" w:eastAsia="仿宋" w:cs="仿宋"/>
                <w:color w:val="auto"/>
                <w:szCs w:val="20"/>
                <w:highlight w:val="none"/>
              </w:rPr>
              <w:t>基准价</w:t>
            </w:r>
            <w:r>
              <w:rPr>
                <w:rFonts w:hint="eastAsia" w:ascii="仿宋" w:hAnsi="仿宋" w:eastAsia="仿宋" w:cs="仿宋"/>
                <w:color w:val="auto"/>
                <w:szCs w:val="20"/>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675" w:type="dxa"/>
            <w:noWrap w:val="0"/>
            <w:vAlign w:val="center"/>
          </w:tcPr>
          <w:p>
            <w:pPr>
              <w:jc w:val="center"/>
              <w:rPr>
                <w:rFonts w:hint="eastAsia" w:ascii="仿宋" w:hAnsi="仿宋" w:eastAsia="仿宋" w:cs="仿宋"/>
                <w:color w:val="auto"/>
                <w:szCs w:val="20"/>
                <w:highlight w:val="none"/>
              </w:rPr>
            </w:pPr>
            <w:r>
              <w:rPr>
                <w:rFonts w:hint="eastAsia" w:ascii="仿宋" w:hAnsi="仿宋" w:eastAsia="仿宋" w:cs="仿宋"/>
                <w:color w:val="auto"/>
                <w:szCs w:val="20"/>
                <w:highlight w:val="none"/>
              </w:rPr>
              <w:t>2</w:t>
            </w:r>
          </w:p>
        </w:tc>
        <w:tc>
          <w:tcPr>
            <w:tcW w:w="3686" w:type="dxa"/>
            <w:noWrap w:val="0"/>
            <w:vAlign w:val="center"/>
          </w:tcPr>
          <w:p>
            <w:pPr>
              <w:jc w:val="center"/>
              <w:rPr>
                <w:rFonts w:hint="eastAsia" w:ascii="仿宋" w:hAnsi="仿宋" w:eastAsia="仿宋" w:cs="仿宋"/>
                <w:color w:val="auto"/>
                <w:kern w:val="2"/>
                <w:sz w:val="21"/>
                <w:szCs w:val="20"/>
                <w:lang w:val="en-US" w:eastAsia="zh-CN" w:bidi="ar-SA"/>
              </w:rPr>
            </w:pPr>
            <w:r>
              <w:rPr>
                <w:rFonts w:hint="eastAsia" w:ascii="仿宋" w:hAnsi="仿宋" w:eastAsia="仿宋" w:cs="仿宋"/>
                <w:color w:val="auto"/>
                <w:szCs w:val="20"/>
                <w:lang w:eastAsia="zh-CN"/>
              </w:rPr>
              <w:t>竞选</w:t>
            </w:r>
            <w:r>
              <w:rPr>
                <w:rFonts w:hint="eastAsia" w:ascii="仿宋" w:hAnsi="仿宋" w:eastAsia="仿宋" w:cs="仿宋"/>
                <w:color w:val="auto"/>
                <w:szCs w:val="20"/>
              </w:rPr>
              <w:t>报价=基准价</w:t>
            </w:r>
          </w:p>
        </w:tc>
        <w:tc>
          <w:tcPr>
            <w:tcW w:w="1984" w:type="dxa"/>
            <w:noWrap w:val="0"/>
            <w:vAlign w:val="center"/>
          </w:tcPr>
          <w:p>
            <w:pPr>
              <w:rPr>
                <w:rFonts w:hint="eastAsia" w:ascii="仿宋" w:hAnsi="仿宋" w:eastAsia="仿宋" w:cs="仿宋"/>
                <w:color w:val="auto"/>
                <w:szCs w:val="20"/>
                <w:highlight w:val="none"/>
              </w:rPr>
            </w:pPr>
            <w:r>
              <w:rPr>
                <w:rFonts w:hint="eastAsia" w:ascii="仿宋" w:hAnsi="仿宋" w:eastAsia="仿宋" w:cs="仿宋"/>
                <w:color w:val="auto"/>
                <w:szCs w:val="20"/>
                <w:highlight w:val="none"/>
              </w:rPr>
              <w:t>100分</w:t>
            </w:r>
          </w:p>
        </w:tc>
        <w:tc>
          <w:tcPr>
            <w:tcW w:w="3402" w:type="dxa"/>
            <w:vMerge w:val="continue"/>
            <w:noWrap w:val="0"/>
            <w:vAlign w:val="center"/>
          </w:tcPr>
          <w:p>
            <w:pPr>
              <w:widowControl/>
              <w:jc w:val="left"/>
              <w:rPr>
                <w:rFonts w:hint="eastAsia" w:ascii="仿宋" w:hAnsi="仿宋" w:eastAsia="仿宋" w:cs="仿宋"/>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675" w:type="dxa"/>
            <w:noWrap w:val="0"/>
            <w:vAlign w:val="center"/>
          </w:tcPr>
          <w:p>
            <w:pPr>
              <w:jc w:val="center"/>
              <w:rPr>
                <w:rFonts w:hint="eastAsia" w:ascii="仿宋" w:hAnsi="仿宋" w:eastAsia="仿宋" w:cs="仿宋"/>
                <w:color w:val="auto"/>
                <w:szCs w:val="20"/>
                <w:highlight w:val="none"/>
              </w:rPr>
            </w:pPr>
            <w:r>
              <w:rPr>
                <w:rFonts w:hint="eastAsia" w:ascii="仿宋" w:hAnsi="仿宋" w:eastAsia="仿宋" w:cs="仿宋"/>
                <w:color w:val="auto"/>
                <w:szCs w:val="20"/>
                <w:highlight w:val="none"/>
              </w:rPr>
              <w:t>3</w:t>
            </w:r>
          </w:p>
        </w:tc>
        <w:tc>
          <w:tcPr>
            <w:tcW w:w="3686" w:type="dxa"/>
            <w:noWrap w:val="0"/>
            <w:vAlign w:val="center"/>
          </w:tcPr>
          <w:p>
            <w:pPr>
              <w:rPr>
                <w:rFonts w:hint="eastAsia" w:ascii="仿宋" w:hAnsi="仿宋" w:eastAsia="仿宋" w:cs="仿宋"/>
                <w:color w:val="auto"/>
              </w:rPr>
            </w:pPr>
            <w:r>
              <w:rPr>
                <w:rFonts w:hint="eastAsia" w:ascii="仿宋" w:hAnsi="仿宋" w:eastAsia="仿宋" w:cs="仿宋"/>
                <w:color w:val="auto"/>
              </w:rPr>
              <w:t xml:space="preserve"> </w:t>
            </w:r>
          </w:p>
          <w:p>
            <w:pPr>
              <w:ind w:firstLine="630" w:firstLineChars="300"/>
              <w:rPr>
                <w:rFonts w:hint="eastAsia" w:ascii="仿宋" w:hAnsi="仿宋" w:eastAsia="仿宋" w:cs="仿宋"/>
                <w:color w:val="auto"/>
              </w:rPr>
            </w:pPr>
            <w:r>
              <w:rPr>
                <w:rFonts w:hint="eastAsia" w:ascii="仿宋" w:hAnsi="仿宋" w:eastAsia="仿宋" w:cs="仿宋"/>
                <w:color w:val="auto"/>
                <w:lang w:eastAsia="zh-CN"/>
              </w:rPr>
              <w:t>竞选报</w:t>
            </w:r>
            <w:r>
              <w:rPr>
                <w:rFonts w:hint="eastAsia" w:ascii="仿宋" w:hAnsi="仿宋" w:eastAsia="仿宋" w:cs="仿宋"/>
                <w:color w:val="auto"/>
              </w:rPr>
              <w:t>价—基准价</w:t>
            </w:r>
          </w:p>
          <w:p>
            <w:pPr>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0288" behindDoc="0" locked="0" layoutInCell="1" allowOverlap="1">
                      <wp:simplePos x="0" y="0"/>
                      <wp:positionH relativeFrom="column">
                        <wp:posOffset>216535</wp:posOffset>
                      </wp:positionH>
                      <wp:positionV relativeFrom="paragraph">
                        <wp:posOffset>56515</wp:posOffset>
                      </wp:positionV>
                      <wp:extent cx="1368425" cy="8890"/>
                      <wp:effectExtent l="0" t="0" r="0" b="0"/>
                      <wp:wrapNone/>
                      <wp:docPr id="4" name="直接连接符 4"/>
                      <wp:cNvGraphicFramePr/>
                      <a:graphic xmlns:a="http://schemas.openxmlformats.org/drawingml/2006/main">
                        <a:graphicData uri="http://schemas.microsoft.com/office/word/2010/wordprocessingShape">
                          <wps:wsp>
                            <wps:cNvSpPr/>
                            <wps:spPr>
                              <a:xfrm>
                                <a:off x="0" y="0"/>
                                <a:ext cx="136842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05pt;margin-top:4.45pt;height:0.7pt;width:107.75pt;z-index:251660288;mso-width-relative:page;mso-height-relative:page;" filled="f" stroked="t" coordsize="21600,21600" o:gfxdata="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eMKedUAAAAHAQAADwAAAAAAAAABACAAAAAiAAAAZHJzL2Rvd25yZXYueG1sUEsB&#10;AhQAFAAAAAgAh07iQIQ1qdn4AQAA5wMAAA4AAAAAAAAAAQAgAAAAJAEAAGRycy9lMm9Eb2MueG1s&#10;UEsFBgAAAAAGAAYAWQEAAI4FAAAAAA==&#10;">
                      <v:fill on="f" focussize="0,0"/>
                      <v:stroke color="#000000" joinstyle="round"/>
                      <v:imagedata o:title=""/>
                      <o:lock v:ext="edit" aspectratio="f"/>
                    </v:line>
                  </w:pict>
                </mc:Fallback>
              </mc:AlternateContent>
            </w:r>
            <w:r>
              <w:rPr>
                <w:rFonts w:hint="eastAsia" w:ascii="仿宋" w:hAnsi="仿宋" w:eastAsia="仿宋" w:cs="仿宋"/>
                <w:color w:val="auto"/>
              </w:rPr>
              <w:t xml:space="preserve">                        ×100%&lt;0</w:t>
            </w:r>
          </w:p>
          <w:p>
            <w:pPr>
              <w:ind w:firstLine="1260" w:firstLineChars="600"/>
              <w:jc w:val="both"/>
              <w:rPr>
                <w:rFonts w:hint="eastAsia" w:ascii="仿宋" w:hAnsi="仿宋" w:eastAsia="仿宋" w:cs="仿宋"/>
                <w:color w:val="auto"/>
                <w:kern w:val="2"/>
                <w:sz w:val="21"/>
                <w:szCs w:val="20"/>
                <w:lang w:val="en-US" w:eastAsia="zh-CN" w:bidi="ar-SA"/>
              </w:rPr>
            </w:pPr>
            <w:r>
              <w:rPr>
                <w:rFonts w:hint="eastAsia" w:ascii="仿宋" w:hAnsi="仿宋" w:eastAsia="仿宋" w:cs="仿宋"/>
                <w:color w:val="auto"/>
              </w:rPr>
              <w:t>基准价</w:t>
            </w:r>
          </w:p>
        </w:tc>
        <w:tc>
          <w:tcPr>
            <w:tcW w:w="1984" w:type="dxa"/>
            <w:noWrap w:val="0"/>
            <w:vAlign w:val="center"/>
          </w:tcPr>
          <w:p>
            <w:pPr>
              <w:jc w:val="left"/>
              <w:rPr>
                <w:rFonts w:hint="eastAsia" w:ascii="仿宋" w:hAnsi="仿宋" w:eastAsia="仿宋" w:cs="仿宋"/>
                <w:color w:val="auto"/>
                <w:szCs w:val="20"/>
                <w:highlight w:val="none"/>
              </w:rPr>
            </w:pPr>
            <w:r>
              <w:rPr>
                <w:rFonts w:hint="eastAsia" w:ascii="仿宋" w:hAnsi="仿宋" w:eastAsia="仿宋" w:cs="仿宋"/>
                <w:color w:val="auto"/>
                <w:szCs w:val="20"/>
                <w:highlight w:val="none"/>
              </w:rPr>
              <w:t>从0开始每降1%减</w:t>
            </w:r>
            <w:r>
              <w:rPr>
                <w:rFonts w:hint="eastAsia" w:ascii="仿宋" w:hAnsi="仿宋" w:eastAsia="仿宋" w:cs="仿宋"/>
                <w:color w:val="auto"/>
                <w:szCs w:val="20"/>
                <w:highlight w:val="none"/>
                <w:lang w:val="en-US" w:eastAsia="zh-CN"/>
              </w:rPr>
              <w:t>0.</w:t>
            </w:r>
            <w:r>
              <w:rPr>
                <w:rFonts w:hint="eastAsia" w:ascii="仿宋" w:hAnsi="仿宋" w:eastAsia="仿宋" w:cs="仿宋"/>
                <w:color w:val="auto"/>
                <w:kern w:val="10"/>
                <w:sz w:val="21"/>
                <w:szCs w:val="20"/>
                <w:highlight w:val="none"/>
                <w:lang w:val="en-US" w:eastAsia="zh-CN"/>
              </w:rPr>
              <w:t>5</w:t>
            </w:r>
            <w:r>
              <w:rPr>
                <w:rFonts w:hint="eastAsia" w:ascii="仿宋" w:hAnsi="仿宋" w:eastAsia="仿宋" w:cs="仿宋"/>
                <w:color w:val="auto"/>
                <w:szCs w:val="20"/>
                <w:highlight w:val="none"/>
              </w:rPr>
              <w:t>分，即100-</w:t>
            </w:r>
            <w:r>
              <w:rPr>
                <w:rFonts w:hint="eastAsia" w:ascii="仿宋" w:hAnsi="仿宋" w:eastAsia="仿宋" w:cs="仿宋"/>
                <w:color w:val="auto"/>
                <w:szCs w:val="20"/>
                <w:highlight w:val="none"/>
                <w:lang w:val="en-US" w:eastAsia="zh-CN"/>
              </w:rPr>
              <w:t>0.5</w:t>
            </w:r>
            <w:r>
              <w:rPr>
                <w:rFonts w:hint="eastAsia" w:ascii="仿宋" w:hAnsi="仿宋" w:eastAsia="仿宋" w:cs="仿宋"/>
                <w:color w:val="auto"/>
                <w:szCs w:val="20"/>
                <w:highlight w:val="none"/>
              </w:rPr>
              <w:t>*100X</w:t>
            </w:r>
          </w:p>
        </w:tc>
        <w:tc>
          <w:tcPr>
            <w:tcW w:w="3402" w:type="dxa"/>
            <w:vMerge w:val="continue"/>
            <w:noWrap w:val="0"/>
            <w:vAlign w:val="center"/>
          </w:tcPr>
          <w:p>
            <w:pPr>
              <w:widowControl/>
              <w:jc w:val="left"/>
              <w:rPr>
                <w:rFonts w:hint="eastAsia" w:ascii="仿宋" w:hAnsi="仿宋" w:eastAsia="仿宋" w:cs="仿宋"/>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9747" w:type="dxa"/>
            <w:gridSpan w:val="4"/>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right="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30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shd w:val="clear" w:color="auto" w:fill="FFFFFF"/>
              </w:rPr>
              <w:t> 竞选报价的基准价为竞选报价区间范围内有效报价的算术平均值。竞选报价超出竞选报价区间的，其竞选</w:t>
            </w:r>
            <w:r>
              <w:rPr>
                <w:rFonts w:hint="eastAsia" w:ascii="仿宋" w:hAnsi="仿宋" w:eastAsia="仿宋" w:cs="仿宋"/>
                <w:i w:val="0"/>
                <w:iCs w:val="0"/>
                <w:caps w:val="0"/>
                <w:color w:val="auto"/>
                <w:spacing w:val="0"/>
                <w:sz w:val="24"/>
                <w:szCs w:val="24"/>
                <w:shd w:val="clear" w:color="auto" w:fill="FFFFFF"/>
                <w:lang w:eastAsia="zh-CN"/>
              </w:rPr>
              <w:t>响应</w:t>
            </w:r>
            <w:r>
              <w:rPr>
                <w:rFonts w:hint="eastAsia" w:ascii="仿宋" w:hAnsi="仿宋" w:eastAsia="仿宋" w:cs="仿宋"/>
                <w:i w:val="0"/>
                <w:iCs w:val="0"/>
                <w:caps w:val="0"/>
                <w:color w:val="auto"/>
                <w:spacing w:val="0"/>
                <w:sz w:val="24"/>
                <w:szCs w:val="24"/>
                <w:shd w:val="clear" w:color="auto" w:fill="FFFFFF"/>
              </w:rPr>
              <w:t>文件作无效处理。</w:t>
            </w:r>
          </w:p>
        </w:tc>
      </w:tr>
    </w:tbl>
    <w:p>
      <w:pPr>
        <w:rPr>
          <w:rFonts w:hint="eastAsia" w:ascii="仿宋" w:hAnsi="仿宋" w:eastAsia="仿宋" w:cs="仿宋"/>
          <w:color w:val="auto"/>
          <w:szCs w:val="21"/>
        </w:rPr>
      </w:pPr>
    </w:p>
    <w:p>
      <w:pPr>
        <w:rPr>
          <w:rFonts w:hint="eastAsia" w:ascii="仿宋" w:hAnsi="仿宋" w:eastAsia="仿宋" w:cs="仿宋"/>
          <w:i w:val="0"/>
          <w:iCs w:val="0"/>
          <w:caps w:val="0"/>
          <w:color w:val="auto"/>
          <w:spacing w:val="0"/>
          <w:kern w:val="0"/>
          <w:sz w:val="24"/>
          <w:szCs w:val="24"/>
          <w:shd w:val="clear" w:color="auto" w:fill="FFFFFF"/>
          <w:lang w:val="en-US" w:eastAsia="zh-CN" w:bidi="ar"/>
        </w:rPr>
      </w:pPr>
      <w:r>
        <w:rPr>
          <w:rFonts w:hint="eastAsia" w:ascii="仿宋" w:hAnsi="仿宋" w:eastAsia="仿宋" w:cs="仿宋"/>
          <w:i w:val="0"/>
          <w:iCs w:val="0"/>
          <w:caps w:val="0"/>
          <w:color w:val="auto"/>
          <w:spacing w:val="0"/>
          <w:kern w:val="0"/>
          <w:sz w:val="24"/>
          <w:szCs w:val="24"/>
          <w:shd w:val="clear" w:color="auto" w:fill="FFFFFF"/>
          <w:lang w:val="en-US" w:eastAsia="zh-CN" w:bidi="ar"/>
        </w:rPr>
        <w:t>备注：竞选报价基准价为竞选人有效报价的算术平均值。通过以上评分表计算出的竞选报价得分是以100分为总分计算所得，该得分乘以权重系数后为最后的竞选报价得分，得分计算保留2位小数（百分比亦取2位小数），第3位小数4舍5入。</w:t>
      </w:r>
    </w:p>
    <w:p>
      <w:pPr>
        <w:spacing w:line="360" w:lineRule="auto"/>
        <w:jc w:val="center"/>
        <w:rPr>
          <w:rFonts w:hint="eastAsia" w:ascii="仿宋" w:hAnsi="仿宋" w:eastAsia="仿宋" w:cs="仿宋"/>
          <w:b/>
          <w:bCs/>
          <w:color w:val="auto"/>
          <w:spacing w:val="15"/>
          <w:kern w:val="0"/>
          <w:sz w:val="48"/>
          <w:szCs w:val="48"/>
        </w:rPr>
      </w:pPr>
    </w:p>
    <w:p>
      <w:pPr>
        <w:spacing w:line="360" w:lineRule="auto"/>
        <w:jc w:val="both"/>
        <w:rPr>
          <w:rFonts w:hint="eastAsia" w:ascii="仿宋" w:hAnsi="仿宋" w:eastAsia="仿宋" w:cs="仿宋"/>
          <w:b/>
          <w:bCs/>
          <w:color w:val="auto"/>
          <w:sz w:val="28"/>
          <w:szCs w:val="28"/>
          <w:lang w:val="en-US" w:eastAsia="zh-CN"/>
        </w:rPr>
      </w:pPr>
      <w:r>
        <w:rPr>
          <w:rFonts w:hint="eastAsia" w:ascii="仿宋" w:hAnsi="仿宋" w:eastAsia="仿宋" w:cs="仿宋"/>
          <w:b/>
          <w:bCs/>
          <w:color w:val="auto"/>
          <w:spacing w:val="15"/>
          <w:kern w:val="0"/>
          <w:sz w:val="48"/>
          <w:szCs w:val="48"/>
        </w:rPr>
        <w:br w:type="page"/>
      </w:r>
      <w:r>
        <w:rPr>
          <w:rFonts w:hint="eastAsia" w:ascii="仿宋" w:hAnsi="仿宋" w:eastAsia="仿宋" w:cs="仿宋"/>
          <w:b/>
          <w:bCs/>
          <w:color w:val="auto"/>
          <w:sz w:val="28"/>
          <w:szCs w:val="28"/>
          <w:lang w:eastAsia="zh-CN"/>
        </w:rPr>
        <w:t>附</w:t>
      </w:r>
      <w:r>
        <w:rPr>
          <w:rFonts w:hint="eastAsia" w:ascii="仿宋" w:hAnsi="仿宋" w:eastAsia="仿宋" w:cs="仿宋"/>
          <w:b/>
          <w:bCs/>
          <w:color w:val="auto"/>
          <w:sz w:val="28"/>
          <w:szCs w:val="28"/>
          <w:lang w:val="en-US" w:eastAsia="zh-CN"/>
        </w:rPr>
        <w:t>表1-3</w:t>
      </w:r>
    </w:p>
    <w:p>
      <w:pPr>
        <w:spacing w:line="360" w:lineRule="auto"/>
        <w:jc w:val="center"/>
        <w:rPr>
          <w:rFonts w:hint="eastAsia" w:ascii="仿宋" w:hAnsi="仿宋" w:eastAsia="仿宋" w:cs="仿宋"/>
          <w:i w:val="0"/>
          <w:iCs w:val="0"/>
          <w:caps w:val="0"/>
          <w:color w:val="auto"/>
          <w:spacing w:val="0"/>
          <w:sz w:val="28"/>
          <w:szCs w:val="28"/>
          <w:lang w:eastAsia="zh-CN"/>
        </w:rPr>
      </w:pPr>
      <w:r>
        <w:rPr>
          <w:rFonts w:hint="eastAsia" w:ascii="仿宋" w:hAnsi="仿宋" w:eastAsia="仿宋" w:cs="仿宋"/>
          <w:i w:val="0"/>
          <w:iCs w:val="0"/>
          <w:caps w:val="0"/>
          <w:color w:val="auto"/>
          <w:spacing w:val="0"/>
          <w:sz w:val="28"/>
          <w:szCs w:val="28"/>
          <w:lang w:val="en-US" w:eastAsia="zh-CN"/>
        </w:rPr>
        <w:t>商务部分</w:t>
      </w:r>
      <w:r>
        <w:rPr>
          <w:rFonts w:hint="eastAsia" w:ascii="仿宋" w:hAnsi="仿宋" w:eastAsia="仿宋" w:cs="仿宋"/>
          <w:i w:val="0"/>
          <w:iCs w:val="0"/>
          <w:caps w:val="0"/>
          <w:color w:val="auto"/>
          <w:spacing w:val="0"/>
          <w:sz w:val="28"/>
          <w:szCs w:val="28"/>
          <w:lang w:eastAsia="zh-CN"/>
        </w:rPr>
        <w:t>评分表（</w:t>
      </w:r>
      <w:r>
        <w:rPr>
          <w:rFonts w:hint="eastAsia" w:ascii="仿宋" w:hAnsi="仿宋" w:eastAsia="仿宋" w:cs="仿宋"/>
          <w:i w:val="0"/>
          <w:iCs w:val="0"/>
          <w:caps w:val="0"/>
          <w:color w:val="auto"/>
          <w:spacing w:val="0"/>
          <w:sz w:val="28"/>
          <w:szCs w:val="28"/>
          <w:lang w:val="en-US" w:eastAsia="zh-CN"/>
        </w:rPr>
        <w:t>100分</w:t>
      </w:r>
      <w:r>
        <w:rPr>
          <w:rFonts w:hint="eastAsia" w:ascii="仿宋" w:hAnsi="仿宋" w:eastAsia="仿宋" w:cs="仿宋"/>
          <w:i w:val="0"/>
          <w:iCs w:val="0"/>
          <w:caps w:val="0"/>
          <w:color w:val="auto"/>
          <w:spacing w:val="0"/>
          <w:sz w:val="28"/>
          <w:szCs w:val="28"/>
          <w:lang w:eastAsia="zh-CN"/>
        </w:rPr>
        <w:t>）</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892"/>
        <w:gridCol w:w="1"/>
        <w:gridCol w:w="4938"/>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99"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289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评审</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内容</w:t>
            </w:r>
          </w:p>
        </w:tc>
        <w:tc>
          <w:tcPr>
            <w:tcW w:w="49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评审标准</w:t>
            </w:r>
          </w:p>
        </w:tc>
        <w:tc>
          <w:tcPr>
            <w:tcW w:w="8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评审</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99" w:type="dxa"/>
            <w:vMerge w:val="restart"/>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2893" w:type="dxa"/>
            <w:gridSpan w:val="2"/>
            <w:vMerge w:val="restart"/>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kern w:val="2"/>
                <w:sz w:val="24"/>
                <w:szCs w:val="24"/>
                <w:lang w:val="en-US" w:eastAsia="zh-CN" w:bidi="ar-SA"/>
              </w:rPr>
              <w:t>企业实力（40分）</w:t>
            </w:r>
          </w:p>
        </w:tc>
        <w:tc>
          <w:tcPr>
            <w:tcW w:w="4938"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2021年-2023年度中获得过湖南省建设工程招投标协会代理机构资信评价“AAA”的计10分；“AA”的计5分。（提供资信评价证明材料复印件并加盖投标人公章为评审依据，未提供不计分）</w:t>
            </w:r>
          </w:p>
        </w:tc>
        <w:tc>
          <w:tcPr>
            <w:tcW w:w="856" w:type="dxa"/>
            <w:vMerge w:val="restart"/>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99" w:type="dxa"/>
            <w:vMerge w:val="continue"/>
            <w:noWrap w:val="0"/>
            <w:vAlign w:val="center"/>
          </w:tcPr>
          <w:p>
            <w:pPr>
              <w:jc w:val="center"/>
              <w:rPr>
                <w:rFonts w:hint="eastAsia" w:ascii="仿宋" w:hAnsi="仿宋" w:eastAsia="仿宋" w:cs="仿宋"/>
                <w:color w:val="auto"/>
                <w:sz w:val="24"/>
                <w:szCs w:val="24"/>
                <w:lang w:val="en-US" w:eastAsia="zh-CN"/>
              </w:rPr>
            </w:pPr>
          </w:p>
        </w:tc>
        <w:tc>
          <w:tcPr>
            <w:tcW w:w="2893" w:type="dxa"/>
            <w:gridSpan w:val="2"/>
            <w:vMerge w:val="continue"/>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right="0"/>
              <w:jc w:val="center"/>
              <w:rPr>
                <w:rFonts w:hint="eastAsia" w:ascii="仿宋" w:hAnsi="仿宋" w:eastAsia="仿宋" w:cs="仿宋"/>
                <w:color w:val="auto"/>
                <w:kern w:val="2"/>
                <w:sz w:val="24"/>
                <w:szCs w:val="24"/>
                <w:lang w:val="en-US" w:eastAsia="zh-CN" w:bidi="ar-SA"/>
              </w:rPr>
            </w:pPr>
          </w:p>
        </w:tc>
        <w:tc>
          <w:tcPr>
            <w:tcW w:w="4938"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具备有效的“质量管理体系认证”、“环境管理体系认证”、“职业健康安全管理体系认证”的每有一个证书的计10分，计满30分为止（提供有效期内认证证书复印件并加盖投标人公章为评审依据，未提供不计分）</w:t>
            </w:r>
          </w:p>
        </w:tc>
        <w:tc>
          <w:tcPr>
            <w:tcW w:w="856" w:type="dxa"/>
            <w:vMerge w:val="continue"/>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599" w:type="dxa"/>
            <w:noWrap w:val="0"/>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2893" w:type="dxa"/>
            <w:gridSpan w:val="2"/>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right="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类似业绩（60分）</w:t>
            </w:r>
          </w:p>
        </w:tc>
        <w:tc>
          <w:tcPr>
            <w:tcW w:w="4938"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提供 2021 年 3 月至今招标代理进入过湘西公共资源交易中心招标的工程施工招标代理业绩，每提供一个业绩计15分，最多计 60分。（提供业绩合同复印件加盖公章，同时需要提供交易中心挂网截图并加盖公章，未提供不计分）</w:t>
            </w:r>
          </w:p>
        </w:tc>
        <w:tc>
          <w:tcPr>
            <w:tcW w:w="856"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99" w:type="dxa"/>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lang w:val="en-US" w:eastAsia="zh-CN"/>
              </w:rPr>
              <w:t>3</w:t>
            </w:r>
          </w:p>
        </w:tc>
        <w:tc>
          <w:tcPr>
            <w:tcW w:w="7831" w:type="dxa"/>
            <w:gridSpan w:val="3"/>
            <w:noWrap w:val="0"/>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i w:val="0"/>
                <w:iCs w:val="0"/>
                <w:caps w:val="0"/>
                <w:color w:val="auto"/>
                <w:spacing w:val="0"/>
                <w:sz w:val="24"/>
                <w:szCs w:val="24"/>
                <w:shd w:val="clear" w:color="auto" w:fill="FFFFFF"/>
              </w:rPr>
            </w:pPr>
            <w:r>
              <w:rPr>
                <w:rFonts w:hint="eastAsia" w:ascii="仿宋" w:hAnsi="仿宋" w:eastAsia="仿宋" w:cs="仿宋"/>
                <w:i w:val="0"/>
                <w:iCs w:val="0"/>
                <w:caps w:val="0"/>
                <w:color w:val="auto"/>
                <w:spacing w:val="0"/>
                <w:sz w:val="24"/>
                <w:szCs w:val="24"/>
                <w:shd w:val="clear" w:color="auto" w:fill="FFFFFF"/>
              </w:rPr>
              <w:t>合   计</w:t>
            </w:r>
          </w:p>
        </w:tc>
        <w:tc>
          <w:tcPr>
            <w:tcW w:w="856" w:type="dxa"/>
            <w:noWrap w:val="0"/>
            <w:vAlign w:val="top"/>
          </w:tcPr>
          <w:p>
            <w:pPr>
              <w:rPr>
                <w:rFonts w:hint="eastAsia" w:ascii="仿宋" w:hAnsi="仿宋" w:eastAsia="仿宋" w:cs="仿宋"/>
                <w:color w:val="auto"/>
                <w:sz w:val="24"/>
                <w:szCs w:val="24"/>
              </w:rPr>
            </w:pPr>
          </w:p>
        </w:tc>
      </w:tr>
    </w:tbl>
    <w:p>
      <w:pPr>
        <w:spacing w:line="360" w:lineRule="auto"/>
        <w:jc w:val="both"/>
        <w:rPr>
          <w:rFonts w:hint="eastAsia" w:ascii="仿宋" w:hAnsi="仿宋" w:eastAsia="仿宋" w:cs="仿宋"/>
          <w:b/>
          <w:color w:val="auto"/>
          <w:sz w:val="28"/>
          <w:szCs w:val="28"/>
        </w:rPr>
      </w:pPr>
    </w:p>
    <w:p>
      <w:bookmarkStart w:id="0" w:name="_GoBack"/>
      <w:bookmarkEnd w:id="0"/>
    </w:p>
    <w:sectPr>
      <w:pgSz w:w="11906" w:h="16838"/>
      <w:pgMar w:top="1418" w:right="1418" w:bottom="1418" w:left="1418" w:header="851" w:footer="851"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Y2YyZDQzMDEzYjM0NWMyOTljMjZhMzQzYzFkZTQifQ=="/>
  </w:docVars>
  <w:rsids>
    <w:rsidRoot w:val="00000000"/>
    <w:rsid w:val="0D634066"/>
    <w:rsid w:val="1D2D3883"/>
    <w:rsid w:val="2C704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jc w:val="center"/>
      <w:outlineLvl w:val="0"/>
    </w:pPr>
    <w:rPr>
      <w:rFonts w:ascii="宋体" w:hAnsi="宋体" w:eastAsia="黑体"/>
      <w:kern w:val="0"/>
      <w:sz w:val="36"/>
      <w:szCs w:val="36"/>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Lines="0" w:beforeAutospacing="0" w:after="158" w:afterLines="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2024-04-22T04:00:58Z</dcterms:created>
  <dc:creator>wstwe</dc:creator>
  <cp:lastModifiedBy>wstwe</cp:lastModifiedBy>
  <dcterms:modified xsi:type="dcterms:W3CDTF">2024-04-22T04:01:57Z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B06FFF43122C413D943EBC5F21A5D35E_12</vt:lpwstr>
  </property>
</Properties>
</file>