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hint="eastAsia" w:ascii="方正小标宋简体" w:hAnsi="方正小标宋简体" w:eastAsia="方正小标宋简体" w:cs="方正小标宋简体"/>
          <w:b w:val="0"/>
          <w:bCs/>
          <w:i w:val="0"/>
          <w:caps w:val="0"/>
          <w:color w:val="444444"/>
          <w:spacing w:val="0"/>
          <w:kern w:val="0"/>
          <w:sz w:val="44"/>
          <w:szCs w:val="44"/>
          <w:lang w:val="en-US" w:eastAsia="zh-CN" w:bidi="ar"/>
        </w:rPr>
      </w:pPr>
      <w:bookmarkStart w:id="0" w:name="_GoBack"/>
      <w:bookmarkEnd w:id="0"/>
      <w:r>
        <w:rPr>
          <w:rStyle w:val="5"/>
          <w:rFonts w:hint="eastAsia" w:ascii="方正小标宋简体" w:hAnsi="方正小标宋简体" w:eastAsia="方正小标宋简体" w:cs="方正小标宋简体"/>
          <w:b w:val="0"/>
          <w:bCs/>
          <w:i w:val="0"/>
          <w:caps w:val="0"/>
          <w:color w:val="444444"/>
          <w:spacing w:val="0"/>
          <w:kern w:val="0"/>
          <w:sz w:val="44"/>
          <w:szCs w:val="44"/>
          <w:lang w:val="en-US" w:eastAsia="zh-CN" w:bidi="ar"/>
        </w:rPr>
        <w:t>永顺县发展和改革局随机抽查事项清单</w:t>
      </w:r>
    </w:p>
    <w:p>
      <w:pPr>
        <w:jc w:val="center"/>
        <w:rPr>
          <w:rStyle w:val="5"/>
          <w:rFonts w:hint="eastAsia" w:ascii="宋体" w:hAnsi="宋体" w:eastAsia="宋体" w:cs="宋体"/>
          <w:i w:val="0"/>
          <w:caps w:val="0"/>
          <w:color w:val="444444"/>
          <w:spacing w:val="0"/>
          <w:kern w:val="0"/>
          <w:sz w:val="38"/>
          <w:szCs w:val="38"/>
          <w:lang w:val="en-US" w:eastAsia="zh-CN" w:bidi="ar"/>
        </w:rPr>
      </w:pPr>
    </w:p>
    <w:tbl>
      <w:tblPr>
        <w:tblStyle w:val="3"/>
        <w:tblW w:w="12900" w:type="dxa"/>
        <w:jc w:val="center"/>
        <w:shd w:val="clear" w:color="auto" w:fill="FFFFFF"/>
        <w:tblLayout w:type="autofit"/>
        <w:tblCellMar>
          <w:top w:w="0" w:type="dxa"/>
          <w:left w:w="0" w:type="dxa"/>
          <w:bottom w:w="0" w:type="dxa"/>
          <w:right w:w="0" w:type="dxa"/>
        </w:tblCellMar>
      </w:tblPr>
      <w:tblGrid>
        <w:gridCol w:w="509"/>
        <w:gridCol w:w="993"/>
        <w:gridCol w:w="5620"/>
        <w:gridCol w:w="582"/>
        <w:gridCol w:w="585"/>
        <w:gridCol w:w="730"/>
        <w:gridCol w:w="595"/>
        <w:gridCol w:w="585"/>
        <w:gridCol w:w="2138"/>
        <w:gridCol w:w="563"/>
      </w:tblGrid>
      <w:tr>
        <w:tblPrEx>
          <w:shd w:val="clear" w:color="auto" w:fill="FFFFFF"/>
          <w:tblCellMar>
            <w:top w:w="0" w:type="dxa"/>
            <w:left w:w="0" w:type="dxa"/>
            <w:bottom w:w="0" w:type="dxa"/>
            <w:right w:w="0" w:type="dxa"/>
          </w:tblCellMar>
        </w:tblPrEx>
        <w:trPr>
          <w:trHeight w:val="456" w:hRule="atLeast"/>
          <w:jc w:val="center"/>
        </w:trPr>
        <w:tc>
          <w:tcPr>
            <w:tcW w:w="50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黑体" w:hAnsi="宋体" w:eastAsia="黑体" w:cs="黑体"/>
                <w:i w:val="0"/>
                <w:caps w:val="0"/>
                <w:color w:val="444444"/>
                <w:spacing w:val="0"/>
                <w:kern w:val="0"/>
                <w:sz w:val="18"/>
                <w:szCs w:val="18"/>
                <w:lang w:val="en-US" w:eastAsia="zh-CN" w:bidi="ar"/>
              </w:rPr>
              <w:t>序号</w:t>
            </w:r>
          </w:p>
        </w:tc>
        <w:tc>
          <w:tcPr>
            <w:tcW w:w="993"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黑体" w:hAnsi="宋体" w:eastAsia="黑体" w:cs="黑体"/>
                <w:i w:val="0"/>
                <w:caps w:val="0"/>
                <w:color w:val="444444"/>
                <w:spacing w:val="0"/>
                <w:kern w:val="0"/>
                <w:sz w:val="18"/>
                <w:szCs w:val="18"/>
                <w:lang w:val="en-US" w:eastAsia="zh-CN" w:bidi="ar"/>
              </w:rPr>
              <w:t>事项</w:t>
            </w:r>
          </w:p>
        </w:tc>
        <w:tc>
          <w:tcPr>
            <w:tcW w:w="5620"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黑体" w:hAnsi="宋体" w:eastAsia="黑体" w:cs="黑体"/>
                <w:i w:val="0"/>
                <w:caps w:val="0"/>
                <w:color w:val="444444"/>
                <w:spacing w:val="0"/>
                <w:kern w:val="0"/>
                <w:sz w:val="18"/>
                <w:szCs w:val="18"/>
                <w:lang w:val="en-US" w:eastAsia="zh-CN" w:bidi="ar"/>
              </w:rPr>
              <w:t>抽查依据</w:t>
            </w:r>
          </w:p>
        </w:tc>
        <w:tc>
          <w:tcPr>
            <w:tcW w:w="582"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黑体" w:hAnsi="宋体" w:eastAsia="黑体" w:cs="黑体"/>
                <w:i w:val="0"/>
                <w:caps w:val="0"/>
                <w:color w:val="444444"/>
                <w:spacing w:val="0"/>
                <w:kern w:val="0"/>
                <w:sz w:val="18"/>
                <w:szCs w:val="18"/>
                <w:lang w:val="en-US" w:eastAsia="zh-CN" w:bidi="ar"/>
              </w:rPr>
              <w:t>抽查主体</w:t>
            </w:r>
          </w:p>
        </w:tc>
        <w:tc>
          <w:tcPr>
            <w:tcW w:w="585"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黑体" w:hAnsi="宋体" w:eastAsia="黑体" w:cs="黑体"/>
                <w:i w:val="0"/>
                <w:caps w:val="0"/>
                <w:color w:val="444444"/>
                <w:spacing w:val="0"/>
                <w:kern w:val="0"/>
                <w:sz w:val="18"/>
                <w:szCs w:val="18"/>
                <w:lang w:val="en-US" w:eastAsia="zh-CN" w:bidi="ar"/>
              </w:rPr>
              <w:t>抽查对象</w:t>
            </w:r>
          </w:p>
        </w:tc>
        <w:tc>
          <w:tcPr>
            <w:tcW w:w="730"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黑体" w:hAnsi="宋体" w:eastAsia="黑体" w:cs="黑体"/>
                <w:i w:val="0"/>
                <w:caps w:val="0"/>
                <w:color w:val="444444"/>
                <w:spacing w:val="0"/>
                <w:kern w:val="0"/>
                <w:sz w:val="18"/>
                <w:szCs w:val="18"/>
                <w:lang w:val="en-US" w:eastAsia="zh-CN" w:bidi="ar"/>
              </w:rPr>
              <w:t>抽查比例</w:t>
            </w:r>
          </w:p>
        </w:tc>
        <w:tc>
          <w:tcPr>
            <w:tcW w:w="595"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黑体" w:hAnsi="宋体" w:eastAsia="黑体" w:cs="黑体"/>
                <w:i w:val="0"/>
                <w:caps w:val="0"/>
                <w:color w:val="444444"/>
                <w:spacing w:val="0"/>
                <w:kern w:val="0"/>
                <w:sz w:val="18"/>
                <w:szCs w:val="18"/>
                <w:lang w:val="en-US" w:eastAsia="zh-CN" w:bidi="ar"/>
              </w:rPr>
              <w:t>抽查频次</w:t>
            </w:r>
          </w:p>
        </w:tc>
        <w:tc>
          <w:tcPr>
            <w:tcW w:w="585"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黑体" w:hAnsi="宋体" w:eastAsia="黑体" w:cs="黑体"/>
                <w:i w:val="0"/>
                <w:caps w:val="0"/>
                <w:color w:val="444444"/>
                <w:spacing w:val="0"/>
                <w:kern w:val="0"/>
                <w:sz w:val="18"/>
                <w:szCs w:val="18"/>
                <w:lang w:val="en-US" w:eastAsia="zh-CN" w:bidi="ar"/>
              </w:rPr>
              <w:t>抽查方式</w:t>
            </w:r>
          </w:p>
        </w:tc>
        <w:tc>
          <w:tcPr>
            <w:tcW w:w="2138"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黑体" w:hAnsi="宋体" w:eastAsia="黑体" w:cs="黑体"/>
                <w:i w:val="0"/>
                <w:caps w:val="0"/>
                <w:color w:val="444444"/>
                <w:spacing w:val="0"/>
                <w:kern w:val="0"/>
                <w:sz w:val="18"/>
                <w:szCs w:val="18"/>
                <w:lang w:val="en-US" w:eastAsia="zh-CN" w:bidi="ar"/>
              </w:rPr>
              <w:t>抽查内容及要求</w:t>
            </w:r>
          </w:p>
        </w:tc>
        <w:tc>
          <w:tcPr>
            <w:tcW w:w="563"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黑体" w:hAnsi="宋体" w:eastAsia="黑体" w:cs="黑体"/>
                <w:i w:val="0"/>
                <w:caps w:val="0"/>
                <w:color w:val="444444"/>
                <w:spacing w:val="0"/>
                <w:kern w:val="0"/>
                <w:sz w:val="18"/>
                <w:szCs w:val="18"/>
                <w:lang w:val="en-US" w:eastAsia="zh-CN" w:bidi="ar"/>
              </w:rPr>
              <w:t>备注</w:t>
            </w:r>
          </w:p>
        </w:tc>
      </w:tr>
      <w:tr>
        <w:tblPrEx>
          <w:shd w:val="clear" w:color="auto" w:fill="FFFFFF"/>
          <w:tblCellMar>
            <w:top w:w="0" w:type="dxa"/>
            <w:left w:w="0" w:type="dxa"/>
            <w:bottom w:w="0" w:type="dxa"/>
            <w:right w:w="0" w:type="dxa"/>
          </w:tblCellMar>
        </w:tblPrEx>
        <w:trPr>
          <w:trHeight w:val="4033" w:hRule="atLeast"/>
          <w:jc w:val="center"/>
        </w:trPr>
        <w:tc>
          <w:tcPr>
            <w:tcW w:w="0" w:type="auto"/>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宋体" w:hAnsi="宋体" w:eastAsia="宋体" w:cs="宋体"/>
                <w:i w:val="0"/>
                <w:caps w:val="0"/>
                <w:color w:val="444444"/>
                <w:spacing w:val="0"/>
                <w:kern w:val="0"/>
                <w:sz w:val="18"/>
                <w:szCs w:val="18"/>
                <w:lang w:val="en-US" w:eastAsia="zh-CN" w:bidi="ar"/>
              </w:rPr>
              <w:t>1</w:t>
            </w:r>
          </w:p>
        </w:tc>
        <w:tc>
          <w:tcPr>
            <w:tcW w:w="99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444444"/>
                <w:spacing w:val="0"/>
                <w:sz w:val="18"/>
                <w:szCs w:val="18"/>
              </w:rPr>
            </w:pPr>
            <w:r>
              <w:rPr>
                <w:rFonts w:hint="eastAsia" w:ascii="宋体" w:hAnsi="宋体" w:eastAsia="宋体" w:cs="宋体"/>
                <w:i w:val="0"/>
                <w:caps w:val="0"/>
                <w:color w:val="444444"/>
                <w:spacing w:val="0"/>
                <w:kern w:val="0"/>
                <w:sz w:val="18"/>
                <w:szCs w:val="18"/>
                <w:lang w:val="en-US" w:eastAsia="zh-CN" w:bidi="ar"/>
              </w:rPr>
              <w:t>对企业投资建设固定资产投资项目相关行为的行政检查</w:t>
            </w:r>
          </w:p>
        </w:tc>
        <w:tc>
          <w:tcPr>
            <w:tcW w:w="5620" w:type="dxa"/>
            <w:tcBorders>
              <w:top w:val="nil"/>
              <w:left w:val="nil"/>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rPr>
                <w:rFonts w:hint="eastAsia" w:ascii="宋体" w:hAnsi="宋体" w:eastAsia="宋体" w:cs="宋体"/>
                <w:i w:val="0"/>
                <w:caps w:val="0"/>
                <w:color w:val="444444"/>
                <w:spacing w:val="0"/>
                <w:kern w:val="0"/>
                <w:sz w:val="18"/>
                <w:szCs w:val="18"/>
                <w:lang w:val="en-US" w:eastAsia="zh-CN" w:bidi="ar"/>
              </w:rPr>
              <w:t>1.《企业投资项目核准和备案管理条例》</w:t>
            </w:r>
            <w:r>
              <w:rPr>
                <w:rFonts w:hint="eastAsia" w:ascii="宋体" w:hAnsi="宋体" w:eastAsia="宋体" w:cs="宋体"/>
                <w:i w:val="0"/>
                <w:caps w:val="0"/>
                <w:color w:val="444444"/>
                <w:spacing w:val="0"/>
                <w:sz w:val="18"/>
                <w:szCs w:val="18"/>
              </w:rPr>
              <w:t>第十六条：核准机关、备案机关以及依法对项目负有监督管理职责的其他有关部门应当加强事中事后监管，按照谁审批谁监管、谁主管谁监管的原则，落实监管责任，采取在线监测、现场核查等方式，加强对项目实施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rPr>
                <w:rFonts w:hint="eastAsia" w:ascii="宋体" w:hAnsi="宋体" w:eastAsia="宋体" w:cs="宋体"/>
                <w:i w:val="0"/>
                <w:caps w:val="0"/>
                <w:color w:val="444444"/>
                <w:spacing w:val="0"/>
                <w:sz w:val="18"/>
                <w:szCs w:val="18"/>
              </w:rPr>
              <w:t>2.《企业投资项目核准和备案管理办法》第四十六条：项目核准和备案机关、行业管理、城乡规划（建设）、国家安全、国土（海洋）资源、环境保护、节能审查、金融监管、安全生产监管、审计等部门，应当按照谁审批谁监管、谁主管谁监管的原则，采取在线监测、现场核查等方式，依法加强对项目的事中事后监管。项目核准、备案机关应当根据法律法规和发展规划、产业政策、总量控制目标、技术政策、准入标准及相关环保要求等，对项目进行监管。</w:t>
            </w:r>
          </w:p>
        </w:tc>
        <w:tc>
          <w:tcPr>
            <w:tcW w:w="58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444444"/>
                <w:spacing w:val="0"/>
                <w:sz w:val="18"/>
                <w:szCs w:val="18"/>
              </w:rPr>
            </w:pPr>
            <w:r>
              <w:rPr>
                <w:rFonts w:hint="eastAsia" w:ascii="宋体" w:hAnsi="宋体" w:eastAsia="宋体" w:cs="宋体"/>
                <w:i w:val="0"/>
                <w:caps w:val="0"/>
                <w:color w:val="444444"/>
                <w:spacing w:val="0"/>
                <w:kern w:val="0"/>
                <w:sz w:val="18"/>
                <w:szCs w:val="18"/>
                <w:lang w:val="en-US" w:eastAsia="zh-CN" w:bidi="ar"/>
              </w:rPr>
              <w:t>县发展改革部门</w:t>
            </w:r>
          </w:p>
        </w:tc>
        <w:tc>
          <w:tcPr>
            <w:tcW w:w="58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444444"/>
                <w:spacing w:val="0"/>
                <w:sz w:val="18"/>
                <w:szCs w:val="18"/>
              </w:rPr>
            </w:pPr>
            <w:r>
              <w:rPr>
                <w:rFonts w:hint="eastAsia" w:ascii="宋体" w:hAnsi="宋体" w:eastAsia="宋体" w:cs="宋体"/>
                <w:i w:val="0"/>
                <w:caps w:val="0"/>
                <w:color w:val="444444"/>
                <w:spacing w:val="0"/>
                <w:kern w:val="0"/>
                <w:sz w:val="18"/>
                <w:szCs w:val="18"/>
                <w:lang w:val="en-US" w:eastAsia="zh-CN" w:bidi="ar"/>
              </w:rPr>
              <w:t>企业、项目</w:t>
            </w:r>
          </w:p>
        </w:tc>
        <w:tc>
          <w:tcPr>
            <w:tcW w:w="73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444444"/>
                <w:spacing w:val="0"/>
                <w:sz w:val="18"/>
                <w:szCs w:val="18"/>
              </w:rPr>
            </w:pPr>
            <w:r>
              <w:rPr>
                <w:rFonts w:hint="eastAsia" w:ascii="宋体" w:hAnsi="宋体" w:eastAsia="宋体" w:cs="宋体"/>
                <w:i w:val="0"/>
                <w:caps w:val="0"/>
                <w:color w:val="444444"/>
                <w:spacing w:val="0"/>
                <w:kern w:val="0"/>
                <w:sz w:val="18"/>
                <w:szCs w:val="18"/>
                <w:lang w:val="en-US" w:eastAsia="zh-CN" w:bidi="ar"/>
              </w:rPr>
              <w:t>不超过1%</w:t>
            </w:r>
          </w:p>
        </w:tc>
        <w:tc>
          <w:tcPr>
            <w:tcW w:w="59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444444"/>
                <w:spacing w:val="0"/>
                <w:sz w:val="18"/>
                <w:szCs w:val="18"/>
              </w:rPr>
            </w:pPr>
            <w:r>
              <w:rPr>
                <w:rFonts w:hint="eastAsia" w:ascii="宋体" w:hAnsi="宋体" w:eastAsia="宋体" w:cs="宋体"/>
                <w:i w:val="0"/>
                <w:caps w:val="0"/>
                <w:color w:val="444444"/>
                <w:spacing w:val="0"/>
                <w:kern w:val="0"/>
                <w:sz w:val="18"/>
                <w:szCs w:val="18"/>
                <w:lang w:val="en-US" w:eastAsia="zh-CN" w:bidi="ar"/>
              </w:rPr>
              <w:t>根据年度计划确定</w:t>
            </w:r>
          </w:p>
        </w:tc>
        <w:tc>
          <w:tcPr>
            <w:tcW w:w="58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444444"/>
                <w:spacing w:val="0"/>
                <w:sz w:val="18"/>
                <w:szCs w:val="18"/>
              </w:rPr>
            </w:pPr>
            <w:r>
              <w:rPr>
                <w:rFonts w:hint="eastAsia" w:ascii="宋体" w:hAnsi="宋体" w:eastAsia="宋体" w:cs="宋体"/>
                <w:i w:val="0"/>
                <w:caps w:val="0"/>
                <w:color w:val="444444"/>
                <w:spacing w:val="0"/>
                <w:kern w:val="0"/>
                <w:sz w:val="18"/>
                <w:szCs w:val="18"/>
                <w:lang w:val="en-US" w:eastAsia="zh-CN" w:bidi="ar"/>
              </w:rPr>
              <w:t>现场检查、书面检查等</w:t>
            </w:r>
          </w:p>
        </w:tc>
        <w:tc>
          <w:tcPr>
            <w:tcW w:w="2138" w:type="dxa"/>
            <w:tcBorders>
              <w:top w:val="nil"/>
              <w:left w:val="nil"/>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rPr>
                <w:rFonts w:hint="eastAsia" w:ascii="宋体" w:hAnsi="宋体" w:eastAsia="宋体" w:cs="宋体"/>
                <w:i w:val="0"/>
                <w:caps w:val="0"/>
                <w:color w:val="444444"/>
                <w:spacing w:val="0"/>
                <w:kern w:val="0"/>
                <w:sz w:val="18"/>
                <w:szCs w:val="18"/>
                <w:lang w:val="en-US" w:eastAsia="zh-CN" w:bidi="ar"/>
              </w:rPr>
              <w:t>实行核准管理的项目，企业未依法办理核准手续开工建设或未按核准的建设地点、建设规模、建设内容等进行建设；企业以欺骗、贿赂等不正当手段取得核准文件；</w:t>
            </w:r>
            <w:r>
              <w:rPr>
                <w:rFonts w:hint="eastAsia" w:ascii="宋体" w:hAnsi="宋体" w:eastAsia="宋体" w:cs="宋体"/>
                <w:i w:val="0"/>
                <w:caps w:val="0"/>
                <w:color w:val="444444"/>
                <w:spacing w:val="0"/>
                <w:sz w:val="18"/>
                <w:szCs w:val="18"/>
              </w:rPr>
              <w:t>实行备案管理的项目，企业未依法将项目信息或者已备案项目信息变更情况告知备案机关，或者向备案机关提供虚假信息的；企业投资建设产业政策禁止投资建设项目的。</w:t>
            </w:r>
          </w:p>
        </w:tc>
        <w:tc>
          <w:tcPr>
            <w:tcW w:w="563" w:type="dxa"/>
            <w:tcBorders>
              <w:top w:val="nil"/>
              <w:left w:val="nil"/>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444444"/>
                <w:spacing w:val="0"/>
                <w:sz w:val="18"/>
                <w:szCs w:val="18"/>
              </w:rPr>
            </w:pPr>
          </w:p>
        </w:tc>
      </w:tr>
      <w:tr>
        <w:tblPrEx>
          <w:tblCellMar>
            <w:top w:w="0" w:type="dxa"/>
            <w:left w:w="0" w:type="dxa"/>
            <w:bottom w:w="0" w:type="dxa"/>
            <w:right w:w="0" w:type="dxa"/>
          </w:tblCellMar>
        </w:tblPrEx>
        <w:trPr>
          <w:trHeight w:val="6529" w:hRule="atLeast"/>
          <w:jc w:val="center"/>
        </w:trPr>
        <w:tc>
          <w:tcPr>
            <w:tcW w:w="0" w:type="auto"/>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宋体" w:hAnsi="宋体" w:eastAsia="宋体" w:cs="宋体"/>
                <w:i w:val="0"/>
                <w:caps w:val="0"/>
                <w:color w:val="444444"/>
                <w:spacing w:val="0"/>
                <w:kern w:val="0"/>
                <w:sz w:val="18"/>
                <w:szCs w:val="18"/>
                <w:lang w:val="en-US" w:eastAsia="zh-CN" w:bidi="ar"/>
              </w:rPr>
              <w:t>2</w:t>
            </w:r>
          </w:p>
        </w:tc>
        <w:tc>
          <w:tcPr>
            <w:tcW w:w="993"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444444"/>
                <w:spacing w:val="0"/>
                <w:sz w:val="18"/>
                <w:szCs w:val="18"/>
              </w:rPr>
            </w:pPr>
            <w:r>
              <w:rPr>
                <w:rFonts w:hint="eastAsia" w:ascii="宋体" w:hAnsi="宋体" w:eastAsia="宋体" w:cs="宋体"/>
                <w:i w:val="0"/>
                <w:caps w:val="0"/>
                <w:color w:val="444444"/>
                <w:spacing w:val="0"/>
                <w:kern w:val="0"/>
                <w:sz w:val="18"/>
                <w:szCs w:val="18"/>
                <w:lang w:val="en-US" w:eastAsia="zh-CN" w:bidi="ar"/>
              </w:rPr>
              <w:t>节能监察</w:t>
            </w:r>
          </w:p>
        </w:tc>
        <w:tc>
          <w:tcPr>
            <w:tcW w:w="5620" w:type="dxa"/>
            <w:tcBorders>
              <w:top w:val="nil"/>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rFonts w:hint="eastAsia" w:ascii="宋体" w:hAnsi="宋体" w:eastAsia="宋体" w:cs="宋体"/>
                <w:i w:val="0"/>
                <w:caps w:val="0"/>
                <w:color w:val="444444"/>
                <w:spacing w:val="0"/>
                <w:sz w:val="14"/>
                <w:szCs w:val="14"/>
              </w:rPr>
            </w:pPr>
            <w:r>
              <w:rPr>
                <w:rFonts w:hint="eastAsia" w:ascii="宋体" w:hAnsi="宋体" w:eastAsia="宋体" w:cs="宋体"/>
                <w:i w:val="0"/>
                <w:caps w:val="0"/>
                <w:color w:val="444444"/>
                <w:spacing w:val="0"/>
                <w:kern w:val="0"/>
                <w:sz w:val="14"/>
                <w:szCs w:val="14"/>
                <w:lang w:val="en-US" w:eastAsia="zh-CN" w:bidi="ar"/>
              </w:rPr>
              <w:t>1.《中华人民共和国节约能源法》</w:t>
            </w:r>
            <w:r>
              <w:rPr>
                <w:rFonts w:hint="eastAsia" w:ascii="宋体" w:hAnsi="宋体" w:eastAsia="宋体" w:cs="宋体"/>
                <w:i w:val="0"/>
                <w:caps w:val="0"/>
                <w:color w:val="444444"/>
                <w:spacing w:val="0"/>
                <w:sz w:val="14"/>
                <w:szCs w:val="14"/>
              </w:rPr>
              <w:t>第十二条：县级以上人民政府管理节能工作的部门和有关部门应当在各自的职责范围内，加强对节能法律、法规和节能标准执行情况的监督检查，依法查处违法用能行为。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rPr>
                <w:rFonts w:hint="eastAsia" w:ascii="宋体" w:hAnsi="宋体" w:eastAsia="宋体" w:cs="宋体"/>
                <w:i w:val="0"/>
                <w:caps w:val="0"/>
                <w:color w:val="444444"/>
                <w:spacing w:val="0"/>
                <w:sz w:val="14"/>
                <w:szCs w:val="14"/>
                <w:lang w:val="en-US" w:eastAsia="zh-CN"/>
              </w:rPr>
              <w:t>2.</w:t>
            </w:r>
            <w:r>
              <w:rPr>
                <w:rFonts w:hint="eastAsia" w:ascii="宋体" w:hAnsi="宋体" w:eastAsia="宋体" w:cs="宋体"/>
                <w:i w:val="0"/>
                <w:caps w:val="0"/>
                <w:color w:val="444444"/>
                <w:spacing w:val="0"/>
                <w:sz w:val="14"/>
                <w:szCs w:val="14"/>
              </w:rPr>
              <w:t>《节能监察办法》（国家发改委第33号令）第三条：国家发展和改革委员会负责全国节能监察工作的统筹协调和指导。县级以上地方人民政府管理节能工作的部门负责本行政区域内节能监察工作的统筹协调和指导。第十一条：节能监察机构依照授权或者委托，具体实施节能监察工作。节能监察应当包括下列内容：（一）建立落实节能目标责任制、节能计划、节能管理和技术措施等情况；（二）落实固定资产投资项目节能评估和审查制度的情况，包括节能评估和审查实施情况、节能审查意见落实情况等；（三）执行用能设备和生产工艺淘汰制度的情况；（四）执行强制性节能标准的情况；（五）执行能源统计、能源利用状况分析和报告制度的情况；（六）执行设立能源管理岗位、聘任能源管理负责人等有关制度的情况</w:t>
            </w:r>
            <w:r>
              <w:rPr>
                <w:rFonts w:hint="eastAsia" w:ascii="宋体" w:hAnsi="宋体" w:eastAsia="宋体" w:cs="宋体"/>
                <w:i w:val="0"/>
                <w:caps w:val="0"/>
                <w:color w:val="444444"/>
                <w:spacing w:val="0"/>
                <w:sz w:val="14"/>
                <w:szCs w:val="14"/>
                <w:lang w:eastAsia="zh-CN"/>
              </w:rPr>
              <w:t>；</w:t>
            </w:r>
            <w:r>
              <w:rPr>
                <w:rFonts w:hint="eastAsia" w:ascii="宋体" w:hAnsi="宋体" w:eastAsia="宋体" w:cs="宋体"/>
                <w:i w:val="0"/>
                <w:caps w:val="0"/>
                <w:color w:val="444444"/>
                <w:spacing w:val="0"/>
                <w:sz w:val="14"/>
                <w:szCs w:val="14"/>
              </w:rPr>
              <w:t>（七）执行用能产品能源效率标识制度的情况；（八）公共机构采购和使用节能产品、设备以及开展能源审计的情况；（九）从事节能咨询、设计、评估、检测、审计、认证等服务的机构贯彻节能要求、提供信息真实性等情况；（十）节能法律、法规、规章规定的其他应当实施节能监察的事项。第十二条：县级以上人民政府管理节能工作的部门应当会同有关部门结合本地实际，编制节能监察计划并组织节能监察机构实施。节能监察计划的实施情况应当报本级人民政府管理节能工作的部门。</w:t>
            </w:r>
          </w:p>
        </w:tc>
        <w:tc>
          <w:tcPr>
            <w:tcW w:w="582"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444444"/>
                <w:spacing w:val="0"/>
                <w:sz w:val="18"/>
                <w:szCs w:val="18"/>
              </w:rPr>
            </w:pPr>
            <w:r>
              <w:rPr>
                <w:rFonts w:hint="eastAsia" w:ascii="宋体" w:hAnsi="宋体" w:eastAsia="宋体" w:cs="宋体"/>
                <w:i w:val="0"/>
                <w:caps w:val="0"/>
                <w:color w:val="444444"/>
                <w:spacing w:val="0"/>
                <w:kern w:val="0"/>
                <w:sz w:val="18"/>
                <w:szCs w:val="18"/>
                <w:lang w:val="en-US" w:eastAsia="zh-CN" w:bidi="ar"/>
              </w:rPr>
              <w:t>县发展改革部门</w:t>
            </w:r>
          </w:p>
        </w:tc>
        <w:tc>
          <w:tcPr>
            <w:tcW w:w="58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444444"/>
                <w:spacing w:val="0"/>
                <w:sz w:val="18"/>
                <w:szCs w:val="18"/>
              </w:rPr>
            </w:pPr>
            <w:r>
              <w:rPr>
                <w:rFonts w:hint="eastAsia" w:ascii="宋体" w:hAnsi="宋体" w:eastAsia="宋体" w:cs="宋体"/>
                <w:i w:val="0"/>
                <w:caps w:val="0"/>
                <w:color w:val="444444"/>
                <w:spacing w:val="0"/>
                <w:kern w:val="0"/>
                <w:sz w:val="18"/>
                <w:szCs w:val="18"/>
                <w:lang w:val="en-US" w:eastAsia="zh-CN" w:bidi="ar"/>
              </w:rPr>
              <w:t>用能企业</w:t>
            </w:r>
          </w:p>
        </w:tc>
        <w:tc>
          <w:tcPr>
            <w:tcW w:w="730" w:type="dxa"/>
            <w:tcBorders>
              <w:top w:val="nil"/>
              <w:left w:val="nil"/>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rPr>
                <w:rFonts w:hint="eastAsia" w:ascii="宋体" w:hAnsi="宋体" w:eastAsia="宋体" w:cs="宋体"/>
                <w:i w:val="0"/>
                <w:caps w:val="0"/>
                <w:color w:val="444444"/>
                <w:spacing w:val="0"/>
                <w:sz w:val="18"/>
                <w:szCs w:val="18"/>
                <w:lang w:val="en-US" w:eastAsia="zh-CN"/>
              </w:rPr>
              <w:t>县市区</w:t>
            </w:r>
            <w:r>
              <w:rPr>
                <w:rFonts w:hint="eastAsia" w:ascii="宋体" w:hAnsi="宋体" w:eastAsia="宋体" w:cs="宋体"/>
                <w:i w:val="0"/>
                <w:caps w:val="0"/>
                <w:color w:val="444444"/>
                <w:spacing w:val="0"/>
                <w:sz w:val="18"/>
                <w:szCs w:val="18"/>
              </w:rPr>
              <w:t>抽查不低于</w:t>
            </w:r>
            <w:r>
              <w:rPr>
                <w:rFonts w:hint="eastAsia" w:ascii="宋体" w:hAnsi="宋体" w:eastAsia="宋体" w:cs="宋体"/>
                <w:i w:val="0"/>
                <w:caps w:val="0"/>
                <w:color w:val="444444"/>
                <w:spacing w:val="0"/>
                <w:sz w:val="18"/>
                <w:szCs w:val="18"/>
                <w:lang w:val="en-US" w:eastAsia="zh-CN"/>
              </w:rPr>
              <w:t>10</w:t>
            </w:r>
            <w:r>
              <w:rPr>
                <w:rFonts w:hint="eastAsia" w:ascii="宋体" w:hAnsi="宋体" w:eastAsia="宋体" w:cs="宋体"/>
                <w:i w:val="0"/>
                <w:caps w:val="0"/>
                <w:color w:val="444444"/>
                <w:spacing w:val="0"/>
                <w:sz w:val="18"/>
                <w:szCs w:val="18"/>
              </w:rPr>
              <w:t>%</w:t>
            </w:r>
          </w:p>
        </w:tc>
        <w:tc>
          <w:tcPr>
            <w:tcW w:w="0" w:type="auto"/>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444444"/>
                <w:spacing w:val="0"/>
                <w:sz w:val="18"/>
                <w:szCs w:val="18"/>
              </w:rPr>
            </w:pPr>
            <w:r>
              <w:rPr>
                <w:rFonts w:hint="eastAsia" w:ascii="宋体" w:hAnsi="宋体" w:eastAsia="宋体" w:cs="宋体"/>
                <w:i w:val="0"/>
                <w:caps w:val="0"/>
                <w:color w:val="444444"/>
                <w:spacing w:val="0"/>
                <w:kern w:val="0"/>
                <w:sz w:val="18"/>
                <w:szCs w:val="18"/>
                <w:lang w:val="en-US" w:eastAsia="zh-CN" w:bidi="ar"/>
              </w:rPr>
              <w:t>1次/年</w:t>
            </w:r>
          </w:p>
        </w:tc>
        <w:tc>
          <w:tcPr>
            <w:tcW w:w="58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444444"/>
                <w:spacing w:val="0"/>
                <w:sz w:val="18"/>
                <w:szCs w:val="18"/>
              </w:rPr>
            </w:pPr>
            <w:r>
              <w:rPr>
                <w:rFonts w:hint="eastAsia" w:ascii="宋体" w:hAnsi="宋体" w:eastAsia="宋体" w:cs="宋体"/>
                <w:i w:val="0"/>
                <w:caps w:val="0"/>
                <w:color w:val="444444"/>
                <w:spacing w:val="0"/>
                <w:kern w:val="0"/>
                <w:sz w:val="18"/>
                <w:szCs w:val="18"/>
                <w:lang w:val="en-US" w:eastAsia="zh-CN" w:bidi="ar"/>
              </w:rPr>
              <w:t>现场检查、书面检查等</w:t>
            </w:r>
          </w:p>
        </w:tc>
        <w:tc>
          <w:tcPr>
            <w:tcW w:w="2138" w:type="dxa"/>
            <w:tcBorders>
              <w:top w:val="nil"/>
              <w:left w:val="nil"/>
              <w:bottom w:val="single" w:color="auto" w:sz="4" w:space="0"/>
              <w:right w:val="single" w:color="auto" w:sz="4"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pPr>
            <w:r>
              <w:rPr>
                <w:rFonts w:hint="eastAsia" w:ascii="宋体" w:hAnsi="宋体" w:eastAsia="宋体" w:cs="宋体"/>
                <w:i w:val="0"/>
                <w:caps w:val="0"/>
                <w:color w:val="444444"/>
                <w:spacing w:val="0"/>
                <w:kern w:val="0"/>
                <w:sz w:val="18"/>
                <w:szCs w:val="18"/>
                <w:lang w:val="en-US" w:eastAsia="zh-CN" w:bidi="ar"/>
              </w:rPr>
              <w:t>1、核查企业能源管理情况、重点用能企业节能管理制度的建立和落实情况、重点用能企业能源利用状况和报送情况；</w:t>
            </w:r>
            <w:r>
              <w:rPr>
                <w:rFonts w:hint="eastAsia" w:ascii="宋体" w:hAnsi="宋体" w:eastAsia="宋体" w:cs="宋体"/>
                <w:i w:val="0"/>
                <w:caps w:val="0"/>
                <w:color w:val="444444"/>
                <w:spacing w:val="0"/>
                <w:sz w:val="18"/>
                <w:szCs w:val="18"/>
              </w:rPr>
              <w:t>2、核查能耗和单位产品能耗、节能措施落实情况；3、核查企业主要用能生产工艺和设备情况；4、核查固定资产投资项目节能审查意见落实情况。</w:t>
            </w:r>
          </w:p>
        </w:tc>
        <w:tc>
          <w:tcPr>
            <w:tcW w:w="0" w:type="auto"/>
            <w:shd w:val="clear" w:color="auto" w:fill="FFFFFF"/>
            <w:vAlign w:val="center"/>
          </w:tcPr>
          <w:p>
            <w:pPr>
              <w:rPr>
                <w:rFonts w:hint="eastAsia" w:ascii="微软雅黑" w:hAnsi="微软雅黑" w:eastAsia="微软雅黑" w:cs="微软雅黑"/>
                <w:i w:val="0"/>
                <w:caps w:val="0"/>
                <w:color w:val="444444"/>
                <w:spacing w:val="0"/>
                <w:sz w:val="18"/>
                <w:szCs w:val="18"/>
              </w:rPr>
            </w:pPr>
          </w:p>
        </w:tc>
      </w:tr>
    </w:tbl>
    <w:p>
      <w:pPr>
        <w:rPr>
          <w:rStyle w:val="5"/>
          <w:rFonts w:hint="eastAsia" w:ascii="宋体" w:hAnsi="宋体" w:eastAsia="宋体" w:cs="宋体"/>
          <w:i w:val="0"/>
          <w:caps w:val="0"/>
          <w:color w:val="444444"/>
          <w:spacing w:val="0"/>
          <w:kern w:val="0"/>
          <w:sz w:val="38"/>
          <w:szCs w:val="38"/>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4OTEzM2EzZWYyMTM0NDUxMWRiMDliM2E4OTBkMTMifQ=="/>
  </w:docVars>
  <w:rsids>
    <w:rsidRoot w:val="1E162BB9"/>
    <w:rsid w:val="1E162BB9"/>
    <w:rsid w:val="1EC65EEF"/>
    <w:rsid w:val="2CEE0664"/>
    <w:rsid w:val="4BCF1067"/>
    <w:rsid w:val="593D3D8F"/>
    <w:rsid w:val="6A1C2A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1366</Words>
  <Characters>1374</Characters>
  <Lines>0</Lines>
  <Paragraphs>0</Paragraphs>
  <TotalTime>6</TotalTime>
  <ScaleCrop>false</ScaleCrop>
  <LinksUpToDate>false</LinksUpToDate>
  <CharactersWithSpaces>1374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2020-11-05T09:09:00Z</dcterms:created>
  <dc:creator>寅哥</dc:creator>
  <cp:lastModifiedBy>Administrator</cp:lastModifiedBy>
  <dcterms:modified xsi:type="dcterms:W3CDTF">2022-12-29T09:19:22Z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BACBF4E575E4488292C9C2913A6EB9BE</vt:lpwstr>
  </property>
</Properties>
</file>