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52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85"/>
        <w:gridCol w:w="965"/>
        <w:gridCol w:w="1842"/>
        <w:gridCol w:w="1177"/>
        <w:gridCol w:w="1156"/>
        <w:gridCol w:w="1114"/>
        <w:gridCol w:w="3793"/>
        <w:gridCol w:w="557"/>
        <w:gridCol w:w="630"/>
        <w:gridCol w:w="535"/>
        <w:gridCol w:w="728"/>
        <w:gridCol w:w="535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乡村振兴局扶贫领域基层政务公开标准目录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3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行政法规、规章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·中央及地方政府涉及扶贫领域的行政法规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·中央及地方政府涉及扶贫领域的规章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县级扶贫部门、乡镇人民政府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·各级政府及部门涉及扶贫领域的规范性文件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县级扶贫部门、乡镇人民政府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其他政策文件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·涉及扶贫领域其他政策文件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县级扶贫部门、乡镇人民政府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扶贫对象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贫困人口识别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·识别标准（国定标准、省定标准）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·识别程序(农户申请、民主评议、公示公告、逐级审核）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·识别结果(贫困户名单、数量)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《国务院扶贫办扶贫开发建档立卡工作方案》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贫困人口所在行政村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贫困人口退出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·退出计划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·退出标准（人均纯收入稳定超过国定标准、实现“两不愁、三保障”）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·退出结果（脱贫名单）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《中共中央办公厅、国务院办公厅关于建立贫困退出机制的意见》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贫困退出人口所在行政村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扶贫资金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财政专项扶贫资金分配结果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·资金名称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·分配结果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资金分配结果下达15个工作日内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年度计划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·年度县级扶贫资金项目计划或贫困县涉农资金统筹整合方案（含调整方案）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·计划安排情况（资金计划批复文件）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·计划完成情况（项目建设完成、资金使用、绩效目标和减贫机制实现情况等）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精准扶贫贷款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·扶贫小额信贷的贷款对象、用途、额度、期限、利率等情况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每年底前集中公布1次当年情况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行业扶贫相关财政资金和东西部扶贫协作财政支援资金使用情况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项目名称、实施地点、资金规模、实施单位、带贫减贫机制、绩效目标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各行业扶贫财政资金主管部门和东西部扶贫协作资金主管部门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扶贫项目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项目库建设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·申报流程（村申报、乡审核、县审定）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·申报结果（项目库规模、项目名单）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2JlNjU3YWY1ZWQ4OGZlOWI3NDE3NDI2NzMyNWEifQ=="/>
  </w:docVars>
  <w:rsids>
    <w:rsidRoot w:val="211711FB"/>
    <w:rsid w:val="0FE22642"/>
    <w:rsid w:val="10097175"/>
    <w:rsid w:val="1B6461D9"/>
    <w:rsid w:val="1EDDCB3F"/>
    <w:rsid w:val="1F3753D5"/>
    <w:rsid w:val="1F6DBACF"/>
    <w:rsid w:val="207A73F9"/>
    <w:rsid w:val="211711FB"/>
    <w:rsid w:val="217D4B61"/>
    <w:rsid w:val="2F156B82"/>
    <w:rsid w:val="30D640EC"/>
    <w:rsid w:val="30D67256"/>
    <w:rsid w:val="37FF2011"/>
    <w:rsid w:val="3B9F3899"/>
    <w:rsid w:val="3D93588E"/>
    <w:rsid w:val="3FDF1967"/>
    <w:rsid w:val="43E3323B"/>
    <w:rsid w:val="466FB2FC"/>
    <w:rsid w:val="4760190B"/>
    <w:rsid w:val="5C7018F9"/>
    <w:rsid w:val="5F3FEB8D"/>
    <w:rsid w:val="63C22B57"/>
    <w:rsid w:val="6736B3B6"/>
    <w:rsid w:val="6757FF40"/>
    <w:rsid w:val="69DF9681"/>
    <w:rsid w:val="6CDD99EB"/>
    <w:rsid w:val="6DDC1777"/>
    <w:rsid w:val="6FFF1A73"/>
    <w:rsid w:val="72937F4B"/>
    <w:rsid w:val="76FD1742"/>
    <w:rsid w:val="7FBF81EB"/>
    <w:rsid w:val="7FDD62F6"/>
    <w:rsid w:val="7FFF798C"/>
    <w:rsid w:val="7FFFADFB"/>
    <w:rsid w:val="93FE2626"/>
    <w:rsid w:val="9CD3BCAC"/>
    <w:rsid w:val="A59D95D2"/>
    <w:rsid w:val="A77F63FC"/>
    <w:rsid w:val="A937872C"/>
    <w:rsid w:val="AD3B8770"/>
    <w:rsid w:val="B3F21292"/>
    <w:rsid w:val="BBDF16CD"/>
    <w:rsid w:val="BBEF67B1"/>
    <w:rsid w:val="BEF7AF0E"/>
    <w:rsid w:val="BF6FA4A6"/>
    <w:rsid w:val="BFBC37AC"/>
    <w:rsid w:val="BFFF76D0"/>
    <w:rsid w:val="C7D7C86A"/>
    <w:rsid w:val="C9BEACEE"/>
    <w:rsid w:val="D6BEC24B"/>
    <w:rsid w:val="E3E4EFDB"/>
    <w:rsid w:val="EA1EB28F"/>
    <w:rsid w:val="EDE5D8AF"/>
    <w:rsid w:val="EE5B9706"/>
    <w:rsid w:val="EFDD02A3"/>
    <w:rsid w:val="EFFFA55B"/>
    <w:rsid w:val="F1FB2E6B"/>
    <w:rsid w:val="F29F8C13"/>
    <w:rsid w:val="F3FD0BCE"/>
    <w:rsid w:val="F63E5094"/>
    <w:rsid w:val="F7EFC855"/>
    <w:rsid w:val="FB54550F"/>
    <w:rsid w:val="FDE56511"/>
    <w:rsid w:val="FDFF350A"/>
    <w:rsid w:val="FEB5A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wordWrap w:val="0"/>
      <w:topLinePunct/>
      <w:autoSpaceDE w:val="0"/>
      <w:autoSpaceDN w:val="0"/>
      <w:adjustRightInd w:val="0"/>
      <w:spacing w:after="120"/>
      <w:ind w:firstLine="200" w:firstLineChars="200"/>
      <w:jc w:val="both"/>
    </w:pPr>
    <w:rPr>
      <w:rFonts w:ascii="Calibri" w:hAnsi="Calibri" w:eastAsia="宋体" w:cs="Times New Roman"/>
      <w:kern w:val="32"/>
      <w:sz w:val="32"/>
      <w:szCs w:val="28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paragraph" w:styleId="11">
    <w:name w:val="Body Text First Indent 2"/>
    <w:basedOn w:val="6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p0"/>
    <w:qFormat/>
    <w:uiPriority w:val="0"/>
    <w:pPr>
      <w:widowControl/>
      <w:jc w:val="both"/>
    </w:pPr>
    <w:rPr>
      <w:rFonts w:ascii="Calibri" w:hAnsi="Calibri" w:eastAsia="宋体" w:cs="黑体"/>
      <w:kern w:val="0"/>
      <w:sz w:val="21"/>
      <w:szCs w:val="24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2021-11-01T01:49:00Z</dcterms:created>
  <dc:creator>湘妃竹</dc:creator>
  <cp:lastModifiedBy>小小黄</cp:lastModifiedBy>
  <dcterms:modified xsi:type="dcterms:W3CDTF">2023-11-14T07:30:08Z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D7D2909D24B0468B9907D57CC54A0F28</vt:lpwstr>
  </property>
</Properties>
</file>